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02"/>
        <w:tblW w:w="9654" w:type="dxa"/>
        <w:tblLook w:val="00A0" w:firstRow="1" w:lastRow="0" w:firstColumn="1" w:lastColumn="0" w:noHBand="0" w:noVBand="0"/>
      </w:tblPr>
      <w:tblGrid>
        <w:gridCol w:w="1454"/>
        <w:gridCol w:w="6988"/>
        <w:gridCol w:w="1212"/>
      </w:tblGrid>
      <w:tr w:rsidR="00D1595A" w:rsidRPr="00A44A5B" w:rsidTr="00CB55B3">
        <w:trPr>
          <w:trHeight w:val="2696"/>
        </w:trPr>
        <w:tc>
          <w:tcPr>
            <w:tcW w:w="1455" w:type="dxa"/>
          </w:tcPr>
          <w:p w:rsidR="00D1595A" w:rsidRPr="00F433CD" w:rsidRDefault="00D1595A" w:rsidP="00D1595A">
            <w:pPr>
              <w:tabs>
                <w:tab w:val="center" w:pos="4677"/>
                <w:tab w:val="right" w:pos="9355"/>
              </w:tabs>
              <w:jc w:val="center"/>
              <w:rPr>
                <w:rFonts w:ascii="Arial" w:hAnsi="Arial" w:cs="Arial"/>
                <w:sz w:val="20"/>
                <w:szCs w:val="20"/>
                <w:lang w:val="ro-RO"/>
              </w:rPr>
            </w:pPr>
            <w:r>
              <w:rPr>
                <w:rFonts w:ascii="Calibri" w:hAnsi="Calibri" w:cs="Calibri"/>
                <w:noProof/>
                <w:sz w:val="22"/>
                <w:szCs w:val="22"/>
              </w:rPr>
              <w:drawing>
                <wp:anchor distT="0" distB="0" distL="114300" distR="114300" simplePos="0" relativeHeight="251660288" behindDoc="1" locked="0" layoutInCell="1" allowOverlap="1">
                  <wp:simplePos x="0" y="0"/>
                  <wp:positionH relativeFrom="column">
                    <wp:posOffset>-1905</wp:posOffset>
                  </wp:positionH>
                  <wp:positionV relativeFrom="paragraph">
                    <wp:posOffset>-365125</wp:posOffset>
                  </wp:positionV>
                  <wp:extent cx="615950" cy="419100"/>
                  <wp:effectExtent l="19050" t="0" r="0" b="0"/>
                  <wp:wrapTight wrapText="bothSides">
                    <wp:wrapPolygon edited="0">
                      <wp:start x="-668" y="0"/>
                      <wp:lineTo x="-668" y="20618"/>
                      <wp:lineTo x="21377" y="20618"/>
                      <wp:lineTo x="21377" y="0"/>
                      <wp:lineTo x="-668" y="0"/>
                    </wp:wrapPolygon>
                  </wp:wrapTight>
                  <wp:docPr id="15" name="Picture 4"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8"/>
                          <a:srcRect/>
                          <a:stretch>
                            <a:fillRect/>
                          </a:stretch>
                        </pic:blipFill>
                        <pic:spPr bwMode="auto">
                          <a:xfrm>
                            <a:off x="0" y="0"/>
                            <a:ext cx="615950" cy="419100"/>
                          </a:xfrm>
                          <a:prstGeom prst="rect">
                            <a:avLst/>
                          </a:prstGeom>
                          <a:noFill/>
                        </pic:spPr>
                      </pic:pic>
                    </a:graphicData>
                  </a:graphic>
                </wp:anchor>
              </w:drawing>
            </w:r>
          </w:p>
        </w:tc>
        <w:tc>
          <w:tcPr>
            <w:tcW w:w="7006" w:type="dxa"/>
            <w:vAlign w:val="center"/>
          </w:tcPr>
          <w:p w:rsidR="00D1595A" w:rsidRDefault="00D1595A" w:rsidP="00D1595A">
            <w:pPr>
              <w:tabs>
                <w:tab w:val="center" w:pos="4677"/>
                <w:tab w:val="right" w:pos="9355"/>
              </w:tabs>
              <w:spacing w:after="120"/>
              <w:jc w:val="center"/>
              <w:rPr>
                <w:rFonts w:ascii="Verdana" w:hAnsi="Verdana" w:cs="Verdana"/>
                <w:color w:val="333333"/>
                <w:sz w:val="20"/>
                <w:szCs w:val="20"/>
                <w:lang w:val="en-GB"/>
              </w:rPr>
            </w:pPr>
            <w:r w:rsidRPr="000B4A26">
              <w:rPr>
                <w:rFonts w:ascii="Verdana" w:hAnsi="Verdana" w:cs="Verdana"/>
                <w:color w:val="333333"/>
                <w:sz w:val="20"/>
                <w:szCs w:val="20"/>
                <w:lang w:val="en-GB"/>
              </w:rPr>
              <w:t xml:space="preserve">“Support to Justice Sector Reform in </w:t>
            </w:r>
            <w:smartTag w:uri="urn:schemas-microsoft-com:office:smarttags" w:element="country-region">
              <w:smartTag w:uri="urn:schemas-microsoft-com:office:smarttags" w:element="place">
                <w:r w:rsidRPr="000B4A26">
                  <w:rPr>
                    <w:rFonts w:ascii="Verdana" w:hAnsi="Verdana" w:cs="Verdana"/>
                    <w:color w:val="333333"/>
                    <w:sz w:val="20"/>
                    <w:szCs w:val="20"/>
                    <w:lang w:val="en-GB"/>
                  </w:rPr>
                  <w:t>Moldova</w:t>
                </w:r>
              </w:smartTag>
            </w:smartTag>
            <w:r w:rsidRPr="000B4A26">
              <w:rPr>
                <w:rFonts w:ascii="Verdana" w:hAnsi="Verdana" w:cs="Verdana"/>
                <w:color w:val="333333"/>
                <w:sz w:val="20"/>
                <w:szCs w:val="20"/>
                <w:lang w:val="en-GB"/>
              </w:rPr>
              <w:t>”</w:t>
            </w:r>
          </w:p>
          <w:p w:rsidR="00D1595A" w:rsidRPr="00122BB5" w:rsidRDefault="00D1595A" w:rsidP="00D1595A">
            <w:pPr>
              <w:tabs>
                <w:tab w:val="center" w:pos="4677"/>
                <w:tab w:val="right" w:pos="9355"/>
              </w:tabs>
              <w:spacing w:after="120"/>
              <w:jc w:val="center"/>
              <w:rPr>
                <w:rFonts w:ascii="Arial" w:hAnsi="Arial" w:cs="Arial"/>
                <w:b/>
                <w:bCs/>
                <w:noProof/>
                <w:sz w:val="16"/>
                <w:szCs w:val="16"/>
                <w:lang w:val="ro-RO"/>
              </w:rPr>
            </w:pPr>
            <w:r w:rsidRPr="00122BB5">
              <w:rPr>
                <w:rFonts w:ascii="Verdana" w:hAnsi="Verdana" w:cs="Verdana"/>
                <w:color w:val="333333"/>
                <w:sz w:val="20"/>
                <w:szCs w:val="20"/>
                <w:lang w:val="pt-BR"/>
              </w:rPr>
              <w:t>“Suportul pentru Reformarea sectorului Justi</w:t>
            </w:r>
            <w:r>
              <w:rPr>
                <w:rFonts w:ascii="Verdana" w:hAnsi="Verdana" w:cs="Verdana"/>
                <w:color w:val="333333"/>
                <w:sz w:val="20"/>
                <w:szCs w:val="20"/>
                <w:lang w:val="ro-RO"/>
              </w:rPr>
              <w:t>ţiei în Moldova”</w:t>
            </w:r>
          </w:p>
          <w:p w:rsidR="00D1595A" w:rsidRDefault="00D1595A" w:rsidP="00D1595A">
            <w:pPr>
              <w:jc w:val="center"/>
              <w:rPr>
                <w:rFonts w:ascii="Arial" w:hAnsi="Arial" w:cs="Arial"/>
                <w:sz w:val="16"/>
                <w:szCs w:val="16"/>
                <w:lang w:val="ro-RO"/>
              </w:rPr>
            </w:pPr>
            <w:r w:rsidRPr="003E56D1">
              <w:rPr>
                <w:rFonts w:ascii="Arial" w:hAnsi="Arial" w:cs="Arial"/>
                <w:sz w:val="16"/>
                <w:szCs w:val="16"/>
                <w:lang w:val="ro-RO"/>
              </w:rPr>
              <w:t>Proiect finanţat de Uniunea Europeană,</w:t>
            </w:r>
            <w:r w:rsidR="00A11436">
              <w:rPr>
                <w:rFonts w:ascii="Arial" w:hAnsi="Arial" w:cs="Arial"/>
                <w:sz w:val="16"/>
                <w:szCs w:val="16"/>
                <w:lang w:val="ro-RO"/>
              </w:rPr>
              <w:t xml:space="preserve"> </w:t>
            </w:r>
            <w:r w:rsidRPr="003E56D1">
              <w:rPr>
                <w:rFonts w:ascii="Arial" w:hAnsi="Arial" w:cs="Arial"/>
                <w:sz w:val="16"/>
                <w:szCs w:val="16"/>
                <w:lang w:val="ro-RO"/>
              </w:rPr>
              <w:t>co-finanţat şi implementat de</w:t>
            </w:r>
          </w:p>
          <w:p w:rsidR="00D1595A" w:rsidRDefault="00D1595A" w:rsidP="00D1595A">
            <w:pPr>
              <w:jc w:val="center"/>
              <w:rPr>
                <w:rFonts w:ascii="Arial" w:hAnsi="Arial" w:cs="Arial"/>
                <w:sz w:val="16"/>
                <w:szCs w:val="16"/>
                <w:lang w:val="ro-RO"/>
              </w:rPr>
            </w:pPr>
            <w:r w:rsidRPr="003E56D1">
              <w:rPr>
                <w:rFonts w:ascii="Arial" w:hAnsi="Arial" w:cs="Arial"/>
                <w:sz w:val="16"/>
                <w:szCs w:val="16"/>
                <w:lang w:val="ro-RO"/>
              </w:rPr>
              <w:t>Programul Naţiunilor Unite pentru Dezvoltare în Moldova</w:t>
            </w:r>
          </w:p>
          <w:p w:rsidR="00D1595A" w:rsidRDefault="00D1595A" w:rsidP="00D1595A">
            <w:pPr>
              <w:jc w:val="center"/>
              <w:rPr>
                <w:rFonts w:ascii="Arial" w:hAnsi="Arial" w:cs="Arial"/>
                <w:sz w:val="16"/>
                <w:szCs w:val="16"/>
                <w:lang w:val="ro-RO"/>
              </w:rPr>
            </w:pPr>
          </w:p>
          <w:p w:rsidR="00D1595A" w:rsidRDefault="00D1595A" w:rsidP="00D1595A">
            <w:pPr>
              <w:jc w:val="center"/>
              <w:rPr>
                <w:b/>
                <w:lang w:val="ro-RO"/>
              </w:rPr>
            </w:pPr>
          </w:p>
          <w:p w:rsidR="00D1595A" w:rsidRPr="006F7D3F" w:rsidRDefault="00D1595A" w:rsidP="00D1595A">
            <w:pPr>
              <w:jc w:val="center"/>
              <w:rPr>
                <w:rFonts w:ascii="Arial" w:hAnsi="Arial" w:cs="Arial"/>
                <w:sz w:val="16"/>
                <w:szCs w:val="16"/>
                <w:lang w:val="ro-RO"/>
              </w:rPr>
            </w:pPr>
            <w:r w:rsidRPr="006F7D3F">
              <w:rPr>
                <w:rFonts w:ascii="Calibri" w:hAnsi="Calibri" w:cs="Calibri"/>
                <w:noProof/>
                <w:sz w:val="16"/>
                <w:szCs w:val="16"/>
              </w:rPr>
              <w:drawing>
                <wp:anchor distT="0" distB="0" distL="114300" distR="114300" simplePos="0" relativeHeight="251662336" behindDoc="0" locked="0" layoutInCell="1" allowOverlap="1">
                  <wp:simplePos x="0" y="0"/>
                  <wp:positionH relativeFrom="column">
                    <wp:posOffset>293370</wp:posOffset>
                  </wp:positionH>
                  <wp:positionV relativeFrom="paragraph">
                    <wp:posOffset>-4445</wp:posOffset>
                  </wp:positionV>
                  <wp:extent cx="760095" cy="609600"/>
                  <wp:effectExtent l="19050" t="0" r="1905" b="0"/>
                  <wp:wrapNone/>
                  <wp:docPr id="14" name="Pictur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pic:cNvPicPr>
                            <a:picLocks noChangeAspect="1" noChangeArrowheads="1"/>
                          </pic:cNvPicPr>
                        </pic:nvPicPr>
                        <pic:blipFill>
                          <a:blip r:embed="rId9"/>
                          <a:srcRect/>
                          <a:stretch>
                            <a:fillRect/>
                          </a:stretch>
                        </pic:blipFill>
                        <pic:spPr bwMode="auto">
                          <a:xfrm>
                            <a:off x="0" y="0"/>
                            <a:ext cx="760095" cy="609600"/>
                          </a:xfrm>
                          <a:prstGeom prst="rect">
                            <a:avLst/>
                          </a:prstGeom>
                          <a:noFill/>
                        </pic:spPr>
                      </pic:pic>
                    </a:graphicData>
                  </a:graphic>
                </wp:anchor>
              </w:drawing>
            </w:r>
            <w:r w:rsidRPr="006F7D3F">
              <w:rPr>
                <w:b/>
                <w:sz w:val="16"/>
                <w:szCs w:val="16"/>
                <w:lang w:val="ro-RO"/>
              </w:rPr>
              <w:t xml:space="preserve">CONSILIUL NAŢIONAL </w:t>
            </w:r>
            <w:r w:rsidRPr="006F7D3F">
              <w:rPr>
                <w:b/>
                <w:sz w:val="16"/>
                <w:szCs w:val="16"/>
                <w:lang w:val="ro-RO"/>
              </w:rPr>
              <w:br/>
              <w:t xml:space="preserve">           PENTRU ASISTENŢA JURIDICĂ</w:t>
            </w:r>
            <w:r w:rsidRPr="006F7D3F">
              <w:rPr>
                <w:b/>
                <w:sz w:val="16"/>
                <w:szCs w:val="16"/>
                <w:lang w:val="ro-RO"/>
              </w:rPr>
              <w:br/>
              <w:t xml:space="preserve">         GARANTATĂ DE STAT</w:t>
            </w:r>
          </w:p>
          <w:p w:rsidR="00D1595A" w:rsidRDefault="00D1595A" w:rsidP="00D1595A">
            <w:pPr>
              <w:jc w:val="center"/>
              <w:rPr>
                <w:rFonts w:ascii="Arial" w:hAnsi="Arial" w:cs="Arial"/>
                <w:sz w:val="16"/>
                <w:szCs w:val="16"/>
                <w:lang w:val="ro-RO"/>
              </w:rPr>
            </w:pPr>
          </w:p>
          <w:p w:rsidR="00D1595A" w:rsidRPr="00EF251F" w:rsidRDefault="00D1595A" w:rsidP="00D1595A">
            <w:pPr>
              <w:jc w:val="center"/>
              <w:rPr>
                <w:rFonts w:ascii="Arial" w:hAnsi="Arial" w:cs="Arial"/>
                <w:sz w:val="16"/>
                <w:szCs w:val="16"/>
                <w:lang w:val="ro-RO"/>
              </w:rPr>
            </w:pPr>
          </w:p>
        </w:tc>
        <w:tc>
          <w:tcPr>
            <w:tcW w:w="1193" w:type="dxa"/>
          </w:tcPr>
          <w:p w:rsidR="00D1595A" w:rsidRPr="00F433CD" w:rsidRDefault="00D1595A" w:rsidP="00D1595A">
            <w:pPr>
              <w:tabs>
                <w:tab w:val="center" w:pos="4677"/>
                <w:tab w:val="right" w:pos="9355"/>
              </w:tabs>
              <w:jc w:val="center"/>
              <w:rPr>
                <w:rFonts w:ascii="Arial" w:hAnsi="Arial" w:cs="Arial"/>
                <w:sz w:val="20"/>
                <w:szCs w:val="20"/>
                <w:lang w:val="ro-RO"/>
              </w:rPr>
            </w:pPr>
            <w:r>
              <w:rPr>
                <w:rFonts w:ascii="Calibri" w:hAnsi="Calibri" w:cs="Calibri"/>
                <w:noProof/>
                <w:sz w:val="22"/>
                <w:szCs w:val="22"/>
              </w:rPr>
              <w:drawing>
                <wp:anchor distT="0" distB="0" distL="114300" distR="114300" simplePos="0" relativeHeight="251661312" behindDoc="0" locked="0" layoutInCell="1" allowOverlap="1">
                  <wp:simplePos x="0" y="0"/>
                  <wp:positionH relativeFrom="column">
                    <wp:posOffset>73025</wp:posOffset>
                  </wp:positionH>
                  <wp:positionV relativeFrom="paragraph">
                    <wp:posOffset>-788035</wp:posOffset>
                  </wp:positionV>
                  <wp:extent cx="613410" cy="1219200"/>
                  <wp:effectExtent l="19050" t="0" r="0" b="0"/>
                  <wp:wrapSquare wrapText="bothSides"/>
                  <wp:docPr id="13" name="Рисунок 5" descr="UNDP_Logo-Blue-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UNDP_Logo-Blue-Tagline-ENG"/>
                          <pic:cNvPicPr>
                            <a:picLocks noChangeAspect="1" noChangeArrowheads="1"/>
                          </pic:cNvPicPr>
                        </pic:nvPicPr>
                        <pic:blipFill>
                          <a:blip r:embed="rId10"/>
                          <a:srcRect/>
                          <a:stretch>
                            <a:fillRect/>
                          </a:stretch>
                        </pic:blipFill>
                        <pic:spPr bwMode="auto">
                          <a:xfrm>
                            <a:off x="0" y="0"/>
                            <a:ext cx="613410" cy="1219200"/>
                          </a:xfrm>
                          <a:prstGeom prst="rect">
                            <a:avLst/>
                          </a:prstGeom>
                          <a:noFill/>
                        </pic:spPr>
                      </pic:pic>
                    </a:graphicData>
                  </a:graphic>
                </wp:anchor>
              </w:drawing>
            </w:r>
          </w:p>
        </w:tc>
      </w:tr>
    </w:tbl>
    <w:p w:rsidR="00D1595A" w:rsidRPr="000E03B5" w:rsidRDefault="00D1595A" w:rsidP="00D1595A">
      <w:pPr>
        <w:shd w:val="clear" w:color="auto" w:fill="D9D9D9"/>
        <w:tabs>
          <w:tab w:val="center" w:pos="4535"/>
        </w:tabs>
        <w:jc w:val="center"/>
        <w:rPr>
          <w:lang w:val="ro-RO"/>
        </w:rPr>
      </w:pPr>
    </w:p>
    <w:p w:rsidR="00263DDB" w:rsidRPr="00D1595A" w:rsidRDefault="00263DDB" w:rsidP="000C4603">
      <w:pPr>
        <w:jc w:val="center"/>
        <w:rPr>
          <w:b/>
          <w:bCs/>
          <w:sz w:val="36"/>
          <w:szCs w:val="36"/>
          <w:lang w:val="ro-RO"/>
        </w:rPr>
      </w:pPr>
    </w:p>
    <w:p w:rsidR="00263DDB" w:rsidRDefault="00263DDB" w:rsidP="000C4603">
      <w:pPr>
        <w:jc w:val="center"/>
        <w:rPr>
          <w:b/>
          <w:bCs/>
          <w:sz w:val="36"/>
          <w:szCs w:val="36"/>
          <w:lang w:val="ro-MD"/>
        </w:rPr>
      </w:pPr>
    </w:p>
    <w:p w:rsidR="00263DDB" w:rsidRDefault="00263DDB" w:rsidP="000C4603">
      <w:pPr>
        <w:jc w:val="center"/>
        <w:rPr>
          <w:b/>
          <w:bCs/>
          <w:sz w:val="36"/>
          <w:szCs w:val="36"/>
          <w:lang w:val="ro-MD"/>
        </w:rPr>
      </w:pPr>
    </w:p>
    <w:p w:rsidR="00263DDB" w:rsidRDefault="00263DDB" w:rsidP="000C4603">
      <w:pPr>
        <w:jc w:val="center"/>
        <w:rPr>
          <w:b/>
          <w:bCs/>
          <w:sz w:val="36"/>
          <w:szCs w:val="36"/>
          <w:lang w:val="ro-MD"/>
        </w:rPr>
      </w:pPr>
      <w:r w:rsidRPr="009C3A64">
        <w:rPr>
          <w:b/>
          <w:bCs/>
          <w:sz w:val="36"/>
          <w:szCs w:val="36"/>
          <w:lang w:val="ro-MD"/>
        </w:rPr>
        <w:t>RAPORT</w:t>
      </w:r>
    </w:p>
    <w:p w:rsidR="00263DDB" w:rsidRDefault="00263DDB" w:rsidP="000C4603">
      <w:pPr>
        <w:jc w:val="center"/>
        <w:rPr>
          <w:b/>
          <w:bCs/>
          <w:sz w:val="36"/>
          <w:szCs w:val="36"/>
          <w:lang w:val="ro-MD"/>
        </w:rPr>
      </w:pPr>
    </w:p>
    <w:p w:rsidR="00263DDB" w:rsidRPr="009C3A64" w:rsidRDefault="00263DDB" w:rsidP="000C4603">
      <w:pPr>
        <w:jc w:val="center"/>
        <w:rPr>
          <w:b/>
          <w:bCs/>
          <w:sz w:val="36"/>
          <w:szCs w:val="36"/>
          <w:lang w:val="ro-MD"/>
        </w:rPr>
      </w:pPr>
    </w:p>
    <w:p w:rsidR="00263DDB" w:rsidRPr="000C53D0" w:rsidRDefault="007F0033" w:rsidP="000C4603">
      <w:pPr>
        <w:jc w:val="center"/>
        <w:rPr>
          <w:b/>
          <w:bCs/>
          <w:sz w:val="36"/>
          <w:szCs w:val="36"/>
          <w:lang w:val="ro-RO"/>
        </w:rPr>
      </w:pPr>
      <w:r>
        <w:rPr>
          <w:b/>
          <w:bCs/>
          <w:sz w:val="36"/>
          <w:szCs w:val="36"/>
          <w:lang w:val="ro-MD"/>
        </w:rPr>
        <w:t>INSTRUIREA AVOCA</w:t>
      </w:r>
      <w:r>
        <w:rPr>
          <w:b/>
          <w:bCs/>
          <w:sz w:val="36"/>
          <w:szCs w:val="36"/>
          <w:lang w:val="ro-RO"/>
        </w:rPr>
        <w:t>ŢILOR CARE ACORDĂ ASISTENŢĂ JURIDICĂ GARANTATĂ DE STAT</w:t>
      </w:r>
    </w:p>
    <w:p w:rsidR="00263DDB" w:rsidRDefault="00263DDB" w:rsidP="000C4603">
      <w:pPr>
        <w:jc w:val="center"/>
        <w:rPr>
          <w:b/>
          <w:bCs/>
          <w:sz w:val="36"/>
          <w:szCs w:val="36"/>
          <w:lang w:val="ro-MD"/>
        </w:rPr>
      </w:pPr>
    </w:p>
    <w:p w:rsidR="00263DDB" w:rsidRPr="009C3A64" w:rsidRDefault="00263DDB" w:rsidP="000C4603">
      <w:pPr>
        <w:jc w:val="center"/>
        <w:rPr>
          <w:b/>
          <w:bCs/>
          <w:sz w:val="36"/>
          <w:szCs w:val="36"/>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Pr="00982593" w:rsidRDefault="00263DDB" w:rsidP="00982593">
      <w:pPr>
        <w:rPr>
          <w:b/>
          <w:bCs/>
          <w:lang w:val="ro-RO"/>
        </w:rPr>
      </w:pPr>
      <w:r w:rsidRPr="00982593">
        <w:rPr>
          <w:b/>
          <w:bCs/>
          <w:lang w:val="ro-RO"/>
        </w:rPr>
        <w:t>Autori:</w:t>
      </w:r>
    </w:p>
    <w:p w:rsidR="00263DDB" w:rsidRPr="00982593" w:rsidRDefault="007130C8" w:rsidP="00F3618D">
      <w:pPr>
        <w:jc w:val="both"/>
        <w:rPr>
          <w:sz w:val="28"/>
          <w:szCs w:val="28"/>
          <w:lang w:val="ro-RO"/>
        </w:rPr>
      </w:pPr>
      <w:r>
        <w:rPr>
          <w:sz w:val="28"/>
          <w:szCs w:val="28"/>
          <w:lang w:val="ro-RO"/>
        </w:rPr>
        <w:t>Vasile</w:t>
      </w:r>
      <w:r w:rsidR="000C53D0">
        <w:rPr>
          <w:sz w:val="28"/>
          <w:szCs w:val="28"/>
          <w:lang w:val="ro-RO"/>
        </w:rPr>
        <w:t xml:space="preserve"> </w:t>
      </w:r>
      <w:r>
        <w:rPr>
          <w:sz w:val="28"/>
          <w:szCs w:val="28"/>
          <w:lang w:val="ro-RO"/>
        </w:rPr>
        <w:t>ROTARU</w:t>
      </w:r>
      <w:r w:rsidR="00263DDB" w:rsidRPr="00982593">
        <w:rPr>
          <w:sz w:val="28"/>
          <w:szCs w:val="28"/>
          <w:lang w:val="ro-RO"/>
        </w:rPr>
        <w:t xml:space="preserve">, dr. în drept, conf. univ., avocat; </w:t>
      </w:r>
    </w:p>
    <w:p w:rsidR="007F0033" w:rsidRPr="00982593" w:rsidRDefault="007F0033" w:rsidP="00983D51">
      <w:pPr>
        <w:ind w:left="1701" w:hanging="1701"/>
        <w:jc w:val="both"/>
        <w:rPr>
          <w:sz w:val="28"/>
          <w:szCs w:val="28"/>
          <w:lang w:val="ro-RO"/>
        </w:rPr>
      </w:pPr>
      <w:r>
        <w:rPr>
          <w:sz w:val="28"/>
          <w:szCs w:val="28"/>
          <w:lang w:val="ro-RO"/>
        </w:rPr>
        <w:t xml:space="preserve">Mihail LUPU, </w:t>
      </w:r>
      <w:r w:rsidR="007130C8">
        <w:rPr>
          <w:sz w:val="28"/>
          <w:szCs w:val="28"/>
          <w:lang w:val="ro-RO"/>
        </w:rPr>
        <w:t xml:space="preserve">avocat, </w:t>
      </w:r>
      <w:r>
        <w:rPr>
          <w:sz w:val="28"/>
          <w:szCs w:val="28"/>
          <w:lang w:val="ro-RO"/>
        </w:rPr>
        <w:t>vice-preşedinte</w:t>
      </w:r>
      <w:r w:rsidR="007130C8">
        <w:rPr>
          <w:sz w:val="28"/>
          <w:szCs w:val="28"/>
          <w:lang w:val="ro-RO"/>
        </w:rPr>
        <w:t xml:space="preserve"> al</w:t>
      </w:r>
      <w:r>
        <w:rPr>
          <w:sz w:val="28"/>
          <w:szCs w:val="28"/>
          <w:lang w:val="ro-RO"/>
        </w:rPr>
        <w:t xml:space="preserve"> CNAJGS, membru al Consiliului Uniunii Avocaţilor;</w:t>
      </w:r>
    </w:p>
    <w:p w:rsidR="00263DDB" w:rsidRPr="00982593" w:rsidRDefault="00263DDB" w:rsidP="00982593">
      <w:pPr>
        <w:ind w:left="1800" w:hanging="1800"/>
        <w:jc w:val="both"/>
        <w:rPr>
          <w:sz w:val="28"/>
          <w:szCs w:val="28"/>
          <w:lang w:val="ro-RO"/>
        </w:rPr>
      </w:pPr>
      <w:r w:rsidRPr="00982593">
        <w:rPr>
          <w:sz w:val="28"/>
          <w:szCs w:val="28"/>
          <w:lang w:val="ro-RO"/>
        </w:rPr>
        <w:t xml:space="preserve">Victor ZAHARIA, dr. în drept, conf. univ., </w:t>
      </w:r>
      <w:r w:rsidR="007130C8">
        <w:rPr>
          <w:sz w:val="28"/>
          <w:szCs w:val="28"/>
          <w:lang w:val="ro-RO"/>
        </w:rPr>
        <w:t xml:space="preserve">avocat, </w:t>
      </w:r>
      <w:r w:rsidR="000C53D0">
        <w:rPr>
          <w:sz w:val="28"/>
          <w:szCs w:val="28"/>
          <w:lang w:val="ro-RO"/>
        </w:rPr>
        <w:t xml:space="preserve">Preşedinte </w:t>
      </w:r>
      <w:r w:rsidR="007130C8">
        <w:rPr>
          <w:sz w:val="28"/>
          <w:szCs w:val="28"/>
          <w:lang w:val="ro-RO"/>
        </w:rPr>
        <w:t xml:space="preserve">al </w:t>
      </w:r>
      <w:r w:rsidR="000C53D0">
        <w:rPr>
          <w:sz w:val="28"/>
          <w:szCs w:val="28"/>
          <w:lang w:val="ro-RO"/>
        </w:rPr>
        <w:t>CNAJGS</w:t>
      </w:r>
      <w:r>
        <w:rPr>
          <w:sz w:val="28"/>
          <w:szCs w:val="28"/>
          <w:lang w:val="ro-RO"/>
        </w:rPr>
        <w:t>.</w:t>
      </w:r>
    </w:p>
    <w:p w:rsidR="00263DDB" w:rsidRDefault="00263DDB" w:rsidP="00982593">
      <w:pPr>
        <w:jc w:val="both"/>
        <w:rPr>
          <w:rFonts w:ascii="Garamond" w:hAnsi="Garamond" w:cs="Garamond"/>
          <w:lang w:val="ro-RO"/>
        </w:rPr>
      </w:pPr>
    </w:p>
    <w:p w:rsidR="00263DDB" w:rsidRDefault="00263DDB" w:rsidP="00982593">
      <w:pPr>
        <w:jc w:val="both"/>
        <w:rPr>
          <w:rFonts w:ascii="Garamond" w:hAnsi="Garamond" w:cs="Garamond"/>
          <w:lang w:val="ro-RO"/>
        </w:rPr>
      </w:pPr>
    </w:p>
    <w:p w:rsidR="00263DDB" w:rsidRDefault="00263DDB" w:rsidP="00982593">
      <w:pPr>
        <w:jc w:val="both"/>
        <w:rPr>
          <w:rFonts w:ascii="Garamond" w:hAnsi="Garamond" w:cs="Garamond"/>
          <w:lang w:val="ro-RO"/>
        </w:rPr>
      </w:pPr>
    </w:p>
    <w:p w:rsidR="00263DDB" w:rsidRDefault="00263DDB" w:rsidP="00982593">
      <w:pPr>
        <w:jc w:val="both"/>
        <w:rPr>
          <w:rFonts w:ascii="Garamond" w:hAnsi="Garamond" w:cs="Garamond"/>
          <w:lang w:val="ro-RO"/>
        </w:rPr>
      </w:pPr>
    </w:p>
    <w:p w:rsidR="00263DDB" w:rsidRDefault="00263DDB" w:rsidP="00982593">
      <w:pPr>
        <w:jc w:val="both"/>
        <w:rPr>
          <w:rFonts w:ascii="Garamond" w:hAnsi="Garamond" w:cs="Garamond"/>
          <w:lang w:val="ro-RO"/>
        </w:rPr>
      </w:pPr>
    </w:p>
    <w:p w:rsidR="00263DDB" w:rsidRPr="00982593" w:rsidRDefault="00263DDB" w:rsidP="00982593">
      <w:pPr>
        <w:jc w:val="both"/>
        <w:rPr>
          <w:rFonts w:ascii="Garamond" w:hAnsi="Garamond" w:cs="Garamond"/>
          <w:lang w:val="ro-RO"/>
        </w:rPr>
      </w:pPr>
    </w:p>
    <w:p w:rsidR="00263DDB" w:rsidRPr="006F7D3F" w:rsidRDefault="00263DDB" w:rsidP="00982593">
      <w:pPr>
        <w:jc w:val="both"/>
        <w:rPr>
          <w:rFonts w:ascii="Arial" w:hAnsi="Arial" w:cs="Arial"/>
          <w:sz w:val="20"/>
          <w:szCs w:val="20"/>
          <w:lang w:val="ro-RO"/>
        </w:rPr>
      </w:pPr>
      <w:r w:rsidRPr="006F7D3F">
        <w:rPr>
          <w:rFonts w:ascii="Arial" w:hAnsi="Arial" w:cs="Arial"/>
          <w:sz w:val="20"/>
          <w:szCs w:val="20"/>
          <w:lang w:val="ro-RO"/>
        </w:rPr>
        <w:t xml:space="preserve">Raport elaborat </w:t>
      </w:r>
      <w:r w:rsidR="006F7D3F">
        <w:rPr>
          <w:rFonts w:ascii="Arial" w:hAnsi="Arial" w:cs="Arial"/>
          <w:sz w:val="20"/>
          <w:szCs w:val="20"/>
          <w:lang w:val="ro-RO"/>
        </w:rPr>
        <w:t>în cadrul</w:t>
      </w:r>
      <w:r w:rsidRPr="006F7D3F">
        <w:rPr>
          <w:rFonts w:ascii="Arial" w:hAnsi="Arial" w:cs="Arial"/>
          <w:sz w:val="20"/>
          <w:szCs w:val="20"/>
          <w:lang w:val="ro-RO"/>
        </w:rPr>
        <w:t xml:space="preserve"> proiectului „</w:t>
      </w:r>
      <w:r w:rsidR="006F7D3F" w:rsidRPr="006F7D3F">
        <w:rPr>
          <w:rFonts w:ascii="Arial" w:hAnsi="Arial" w:cs="Arial"/>
          <w:sz w:val="20"/>
          <w:szCs w:val="20"/>
          <w:lang w:val="pt-BR"/>
        </w:rPr>
        <w:t>Suportul pentru Reformarea sectorului Justi</w:t>
      </w:r>
      <w:r w:rsidR="006F7D3F" w:rsidRPr="006F7D3F">
        <w:rPr>
          <w:rFonts w:ascii="Arial" w:hAnsi="Arial" w:cs="Arial"/>
          <w:sz w:val="20"/>
          <w:szCs w:val="20"/>
          <w:lang w:val="ro-RO"/>
        </w:rPr>
        <w:t>ţiei în Moldova</w:t>
      </w:r>
      <w:r w:rsidRPr="006F7D3F">
        <w:rPr>
          <w:rFonts w:ascii="Arial" w:hAnsi="Arial" w:cs="Arial"/>
          <w:sz w:val="20"/>
          <w:szCs w:val="20"/>
          <w:lang w:val="ro-RO"/>
        </w:rPr>
        <w:t xml:space="preserve">”, finanţat de Uniunea Europeană şi co-finanţat şi implementat de Programul Naţiunilor Unite pentru Dezvoltare. Opiniile exprimate în </w:t>
      </w:r>
      <w:r w:rsidR="00E23F0C">
        <w:rPr>
          <w:rFonts w:ascii="Arial" w:hAnsi="Arial" w:cs="Arial"/>
          <w:sz w:val="20"/>
          <w:szCs w:val="20"/>
          <w:lang w:val="ro-RO"/>
        </w:rPr>
        <w:t>raport</w:t>
      </w:r>
      <w:r w:rsidRPr="006F7D3F">
        <w:rPr>
          <w:rFonts w:ascii="Arial" w:hAnsi="Arial" w:cs="Arial"/>
          <w:sz w:val="20"/>
          <w:szCs w:val="20"/>
          <w:lang w:val="ro-RO"/>
        </w:rPr>
        <w:t xml:space="preserve"> nu reflectă necesar punctul de vedere al Uniunii Europene şi al Naţiunilor Unite, inclusiv al Programului Naţiunilor Unite pentru Dezvoltare. </w:t>
      </w:r>
    </w:p>
    <w:p w:rsidR="00263DDB" w:rsidRPr="006F7D3F" w:rsidRDefault="00263DDB" w:rsidP="00982593">
      <w:pPr>
        <w:jc w:val="both"/>
        <w:rPr>
          <w:rFonts w:ascii="Arial" w:hAnsi="Arial" w:cs="Arial"/>
          <w:sz w:val="20"/>
          <w:szCs w:val="20"/>
          <w:lang w:val="ro-RO"/>
        </w:rPr>
      </w:pPr>
    </w:p>
    <w:p w:rsidR="00263DDB" w:rsidRPr="006F7D3F" w:rsidRDefault="00263DDB" w:rsidP="00982593">
      <w:pPr>
        <w:jc w:val="both"/>
        <w:rPr>
          <w:rFonts w:ascii="Arial" w:hAnsi="Arial" w:cs="Arial"/>
          <w:sz w:val="20"/>
          <w:szCs w:val="20"/>
          <w:lang w:val="ro-RO"/>
        </w:rPr>
      </w:pPr>
      <w:r w:rsidRPr="006F7D3F">
        <w:rPr>
          <w:rFonts w:ascii="Arial" w:hAnsi="Arial" w:cs="Arial"/>
          <w:sz w:val="20"/>
          <w:szCs w:val="20"/>
          <w:lang w:val="ro-RO"/>
        </w:rPr>
        <w:t>Programul Naţiunilor Unite pentru Dezvoltare (PNUD) reprezintă reţeaua globală de dezvoltare a Naţiunilor Unite, care promovează schimbarea şi conectează ţările la informaţii, experienţa şi resursele necesare pentru a ajuta oamenii să-şi construiască o viaţă mai bună.</w:t>
      </w:r>
    </w:p>
    <w:p w:rsidR="00263DDB" w:rsidRPr="00982593" w:rsidRDefault="00263DDB" w:rsidP="00982593">
      <w:pPr>
        <w:rPr>
          <w:rFonts w:ascii="Arial" w:hAnsi="Arial" w:cs="Arial"/>
          <w:b/>
          <w:bCs/>
          <w:sz w:val="20"/>
          <w:szCs w:val="20"/>
          <w:lang w:val="ro-RO"/>
        </w:rPr>
      </w:pPr>
    </w:p>
    <w:p w:rsidR="007F0033" w:rsidRDefault="007F0033" w:rsidP="00982593">
      <w:pPr>
        <w:jc w:val="center"/>
        <w:rPr>
          <w:rFonts w:ascii="Arial" w:hAnsi="Arial" w:cs="Arial"/>
          <w:b/>
          <w:bCs/>
          <w:sz w:val="20"/>
          <w:szCs w:val="20"/>
          <w:lang w:val="ro-RO"/>
        </w:rPr>
      </w:pPr>
    </w:p>
    <w:p w:rsidR="007F0033" w:rsidRDefault="007F0033" w:rsidP="00982593">
      <w:pPr>
        <w:jc w:val="center"/>
        <w:rPr>
          <w:rFonts w:ascii="Arial" w:hAnsi="Arial" w:cs="Arial"/>
          <w:b/>
          <w:bCs/>
          <w:sz w:val="20"/>
          <w:szCs w:val="20"/>
          <w:lang w:val="ro-RO"/>
        </w:rPr>
      </w:pPr>
    </w:p>
    <w:p w:rsidR="007F0033" w:rsidRDefault="007F0033" w:rsidP="00982593">
      <w:pPr>
        <w:jc w:val="center"/>
        <w:rPr>
          <w:rFonts w:ascii="Arial" w:hAnsi="Arial" w:cs="Arial"/>
          <w:b/>
          <w:bCs/>
          <w:sz w:val="20"/>
          <w:szCs w:val="20"/>
          <w:lang w:val="ro-RO"/>
        </w:rPr>
      </w:pPr>
    </w:p>
    <w:p w:rsidR="007F0033" w:rsidRDefault="007F0033" w:rsidP="00982593">
      <w:pPr>
        <w:jc w:val="center"/>
        <w:rPr>
          <w:rFonts w:ascii="Arial" w:hAnsi="Arial" w:cs="Arial"/>
          <w:b/>
          <w:bCs/>
          <w:sz w:val="20"/>
          <w:szCs w:val="20"/>
          <w:lang w:val="ro-RO"/>
        </w:rPr>
      </w:pPr>
    </w:p>
    <w:p w:rsidR="007F0033" w:rsidRDefault="007F0033" w:rsidP="00982593">
      <w:pPr>
        <w:jc w:val="center"/>
        <w:rPr>
          <w:rFonts w:ascii="Arial" w:hAnsi="Arial" w:cs="Arial"/>
          <w:b/>
          <w:bCs/>
          <w:sz w:val="20"/>
          <w:szCs w:val="20"/>
          <w:lang w:val="ro-RO"/>
        </w:rPr>
      </w:pPr>
    </w:p>
    <w:p w:rsidR="00263DDB" w:rsidRDefault="007F0033" w:rsidP="00982593">
      <w:pPr>
        <w:jc w:val="center"/>
        <w:rPr>
          <w:rFonts w:ascii="Arial" w:hAnsi="Arial" w:cs="Arial"/>
          <w:b/>
          <w:bCs/>
          <w:sz w:val="20"/>
          <w:szCs w:val="20"/>
          <w:lang w:val="ro-RO"/>
        </w:rPr>
      </w:pPr>
      <w:r>
        <w:rPr>
          <w:rFonts w:ascii="Arial" w:hAnsi="Arial" w:cs="Arial"/>
          <w:b/>
          <w:bCs/>
          <w:sz w:val="20"/>
          <w:szCs w:val="20"/>
          <w:lang w:val="ro-RO"/>
        </w:rPr>
        <w:t>Chişinău 2013</w:t>
      </w:r>
    </w:p>
    <w:p w:rsidR="00402CF9" w:rsidRDefault="00402CF9" w:rsidP="00982593">
      <w:pPr>
        <w:jc w:val="center"/>
        <w:rPr>
          <w:rFonts w:ascii="Arial" w:hAnsi="Arial" w:cs="Arial"/>
          <w:b/>
          <w:bCs/>
          <w:sz w:val="20"/>
          <w:szCs w:val="20"/>
          <w:lang w:val="ro-RO"/>
        </w:rPr>
      </w:pPr>
    </w:p>
    <w:p w:rsidR="00402CF9" w:rsidRPr="006E75D0" w:rsidRDefault="00402CF9" w:rsidP="00982593">
      <w:pPr>
        <w:jc w:val="center"/>
        <w:rPr>
          <w:rFonts w:ascii="Arial" w:hAnsi="Arial" w:cs="Arial"/>
          <w:b/>
          <w:bCs/>
          <w:sz w:val="20"/>
          <w:szCs w:val="20"/>
          <w:lang w:val="ro-RO"/>
        </w:rPr>
      </w:pPr>
    </w:p>
    <w:p w:rsidR="00263DDB" w:rsidRPr="006E75D0" w:rsidRDefault="00263DDB" w:rsidP="00982593">
      <w:pPr>
        <w:jc w:val="center"/>
        <w:rPr>
          <w:rFonts w:ascii="Garamond" w:hAnsi="Garamond" w:cs="Garamond"/>
          <w:b/>
          <w:bCs/>
          <w:i/>
          <w:iCs/>
          <w:lang w:val="ro-RO"/>
        </w:rPr>
      </w:pPr>
      <w:r w:rsidRPr="006E75D0">
        <w:rPr>
          <w:rFonts w:ascii="Garamond" w:hAnsi="Garamond" w:cs="Garamond"/>
          <w:b/>
          <w:bCs/>
          <w:lang w:val="ro-RO"/>
        </w:rPr>
        <w:t>CUPRINS</w:t>
      </w:r>
    </w:p>
    <w:p w:rsidR="00263DDB" w:rsidRDefault="00263DDB" w:rsidP="00964FA2">
      <w:pPr>
        <w:jc w:val="both"/>
        <w:rPr>
          <w:sz w:val="28"/>
          <w:szCs w:val="28"/>
          <w:lang w:val="ro-RO"/>
        </w:rPr>
      </w:pPr>
    </w:p>
    <w:p w:rsidR="00950E06" w:rsidRDefault="007F0033" w:rsidP="00950E06">
      <w:pPr>
        <w:numPr>
          <w:ilvl w:val="0"/>
          <w:numId w:val="5"/>
        </w:numPr>
        <w:jc w:val="both"/>
        <w:rPr>
          <w:lang w:val="ro-RO"/>
        </w:rPr>
      </w:pPr>
      <w:r w:rsidRPr="007F0033">
        <w:rPr>
          <w:b/>
          <w:lang w:val="ro-RO"/>
        </w:rPr>
        <w:t xml:space="preserve">INTRODUCERE </w:t>
      </w:r>
      <w:r w:rsidRPr="007F0033">
        <w:rPr>
          <w:lang w:val="ro-RO"/>
        </w:rPr>
        <w:t>...........................................................................................................</w:t>
      </w:r>
      <w:r w:rsidR="00464994">
        <w:rPr>
          <w:lang w:val="ro-RO"/>
        </w:rPr>
        <w:t>3</w:t>
      </w:r>
    </w:p>
    <w:p w:rsidR="00950E06" w:rsidRDefault="00950E06" w:rsidP="00950E06">
      <w:pPr>
        <w:ind w:left="360"/>
        <w:jc w:val="both"/>
        <w:rPr>
          <w:lang w:val="ro-RO"/>
        </w:rPr>
      </w:pPr>
    </w:p>
    <w:p w:rsidR="00950E06" w:rsidRDefault="007F0033" w:rsidP="00950E06">
      <w:pPr>
        <w:numPr>
          <w:ilvl w:val="0"/>
          <w:numId w:val="5"/>
        </w:numPr>
        <w:jc w:val="both"/>
        <w:rPr>
          <w:lang w:val="ro-RO"/>
        </w:rPr>
      </w:pPr>
      <w:r w:rsidRPr="00950E06">
        <w:rPr>
          <w:b/>
          <w:lang w:val="ro-MD"/>
        </w:rPr>
        <w:t xml:space="preserve">SINTEZA CONCLUZIILOR </w:t>
      </w:r>
      <w:r w:rsidRPr="00950E06">
        <w:rPr>
          <w:b/>
          <w:lang w:val="ro-RO"/>
        </w:rPr>
        <w:t xml:space="preserve">ŞI RECOMANDĂRILOR </w:t>
      </w:r>
      <w:r w:rsidRPr="00950E06">
        <w:rPr>
          <w:lang w:val="ro-RO"/>
        </w:rPr>
        <w:t>……………...................</w:t>
      </w:r>
      <w:r w:rsidR="00950E06">
        <w:rPr>
          <w:lang w:val="ro-RO"/>
        </w:rPr>
        <w:t>.</w:t>
      </w:r>
      <w:r w:rsidR="00860EDE">
        <w:rPr>
          <w:lang w:val="ro-RO"/>
        </w:rPr>
        <w:t>5</w:t>
      </w:r>
    </w:p>
    <w:p w:rsidR="00950E06" w:rsidRPr="00950E06" w:rsidRDefault="00950E06" w:rsidP="00950E06">
      <w:pPr>
        <w:jc w:val="both"/>
        <w:rPr>
          <w:lang w:val="ro-RO"/>
        </w:rPr>
      </w:pPr>
    </w:p>
    <w:p w:rsidR="00950E06" w:rsidRPr="00950E06" w:rsidRDefault="007F0033" w:rsidP="00950E06">
      <w:pPr>
        <w:numPr>
          <w:ilvl w:val="0"/>
          <w:numId w:val="5"/>
        </w:numPr>
        <w:jc w:val="both"/>
        <w:rPr>
          <w:lang w:val="ro-RO"/>
        </w:rPr>
      </w:pPr>
      <w:r w:rsidRPr="00950E06">
        <w:rPr>
          <w:b/>
          <w:bCs/>
          <w:lang w:val="ro-MD"/>
        </w:rPr>
        <w:t>CONSTATĂRI PRIVIND INSTRUIREA INIŢIALĂ ŞI CONTINUĂ A AVOCAŢILOR CARE ACORDĂ ASISTENŢĂ JURIDICĂ GARANTATĂ DE STAT</w:t>
      </w:r>
      <w:r w:rsidRPr="00950E06">
        <w:rPr>
          <w:bCs/>
          <w:lang w:val="ro-MD"/>
        </w:rPr>
        <w:t>.................</w:t>
      </w:r>
      <w:r w:rsidR="00D97B17" w:rsidRPr="001376F7">
        <w:rPr>
          <w:bCs/>
          <w:lang w:val="ro-MD"/>
        </w:rPr>
        <w:t>8</w:t>
      </w:r>
    </w:p>
    <w:p w:rsidR="00950E06" w:rsidRPr="00950E06" w:rsidRDefault="00950E06" w:rsidP="00950E06">
      <w:pPr>
        <w:jc w:val="both"/>
        <w:rPr>
          <w:lang w:val="ro-RO"/>
        </w:rPr>
      </w:pPr>
    </w:p>
    <w:p w:rsidR="00263DDB" w:rsidRPr="00090E93" w:rsidRDefault="00090E93" w:rsidP="00090E93">
      <w:pPr>
        <w:numPr>
          <w:ilvl w:val="0"/>
          <w:numId w:val="5"/>
        </w:numPr>
        <w:rPr>
          <w:b/>
          <w:lang w:val="ro-RO"/>
        </w:rPr>
      </w:pPr>
      <w:r w:rsidRPr="00090E93">
        <w:rPr>
          <w:b/>
          <w:lang w:val="ro-RO"/>
        </w:rPr>
        <w:t>CONCEPTUL ASIGURĂRII INSTRUIRII INI</w:t>
      </w:r>
      <w:r w:rsidR="0000528B">
        <w:rPr>
          <w:b/>
          <w:lang w:val="ro-RO"/>
        </w:rPr>
        <w:t>Ţ</w:t>
      </w:r>
      <w:r w:rsidRPr="00090E93">
        <w:rPr>
          <w:b/>
          <w:lang w:val="ro-RO"/>
        </w:rPr>
        <w:t>I</w:t>
      </w:r>
      <w:r w:rsidR="0000528B">
        <w:rPr>
          <w:b/>
          <w:lang w:val="ro-RO"/>
        </w:rPr>
        <w:t>A</w:t>
      </w:r>
      <w:r w:rsidRPr="00090E93">
        <w:rPr>
          <w:b/>
          <w:lang w:val="ro-RO"/>
        </w:rPr>
        <w:t xml:space="preserve">LE </w:t>
      </w:r>
      <w:r w:rsidR="0000528B">
        <w:rPr>
          <w:b/>
          <w:lang w:val="ro-RO"/>
        </w:rPr>
        <w:t>Ş</w:t>
      </w:r>
      <w:r w:rsidRPr="00090E93">
        <w:rPr>
          <w:b/>
          <w:lang w:val="ro-RO"/>
        </w:rPr>
        <w:t>I CONTINUE A AVOCA</w:t>
      </w:r>
      <w:r w:rsidR="00180362">
        <w:rPr>
          <w:b/>
          <w:lang w:val="ro-RO"/>
        </w:rPr>
        <w:t>Ţ</w:t>
      </w:r>
      <w:r w:rsidRPr="00090E93">
        <w:rPr>
          <w:b/>
          <w:lang w:val="ro-RO"/>
        </w:rPr>
        <w:t>ILOR CARE ACORDĂ ASISTEN</w:t>
      </w:r>
      <w:r w:rsidR="00180362">
        <w:rPr>
          <w:b/>
          <w:lang w:val="ro-RO"/>
        </w:rPr>
        <w:t>Ţ</w:t>
      </w:r>
      <w:r w:rsidRPr="00090E93">
        <w:rPr>
          <w:b/>
          <w:lang w:val="ro-RO"/>
        </w:rPr>
        <w:t>Ă JURIDICĂ GARANTATĂ DE STAT</w:t>
      </w:r>
      <w:r w:rsidR="007F0033" w:rsidRPr="00090E93">
        <w:rPr>
          <w:bCs/>
          <w:lang w:val="ro-MD"/>
        </w:rPr>
        <w:t>..............................................................</w:t>
      </w:r>
      <w:r>
        <w:rPr>
          <w:bCs/>
          <w:lang w:val="ro-MD"/>
        </w:rPr>
        <w:t>......................................</w:t>
      </w:r>
      <w:r w:rsidR="001376F7">
        <w:rPr>
          <w:bCs/>
          <w:lang w:val="ro-MD"/>
        </w:rPr>
        <w:t>............................21</w:t>
      </w:r>
    </w:p>
    <w:p w:rsidR="00263DDB" w:rsidRPr="007F0033" w:rsidRDefault="00263DDB" w:rsidP="0067458A">
      <w:pPr>
        <w:ind w:left="360" w:hanging="360"/>
        <w:rPr>
          <w:b/>
          <w:lang w:val="ro-MD"/>
        </w:rPr>
      </w:pPr>
    </w:p>
    <w:p w:rsidR="00263DDB" w:rsidRDefault="004436F6" w:rsidP="00964FA2">
      <w:pPr>
        <w:jc w:val="both"/>
        <w:rPr>
          <w:sz w:val="28"/>
          <w:szCs w:val="28"/>
          <w:lang w:val="ro-RO"/>
        </w:rPr>
      </w:pPr>
      <w:r>
        <w:rPr>
          <w:sz w:val="28"/>
          <w:szCs w:val="28"/>
          <w:lang w:val="ro-RO"/>
        </w:rPr>
        <w:t xml:space="preserve">     ANEXE </w:t>
      </w:r>
      <w:r w:rsidRPr="00090E93">
        <w:rPr>
          <w:bCs/>
          <w:lang w:val="ro-MD"/>
        </w:rPr>
        <w:t>.................................</w:t>
      </w:r>
      <w:r>
        <w:rPr>
          <w:bCs/>
          <w:lang w:val="ro-MD"/>
        </w:rPr>
        <w:t>........................................................................................</w:t>
      </w:r>
      <w:r w:rsidR="004C6E66">
        <w:rPr>
          <w:bCs/>
          <w:lang w:val="ro-MD"/>
        </w:rPr>
        <w:t>24</w:t>
      </w: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263DDB" w:rsidRDefault="00263DDB" w:rsidP="00964FA2">
      <w:pPr>
        <w:jc w:val="both"/>
        <w:rPr>
          <w:sz w:val="28"/>
          <w:szCs w:val="28"/>
          <w:lang w:val="ro-RO"/>
        </w:rPr>
      </w:pPr>
    </w:p>
    <w:p w:rsidR="007F0033" w:rsidRDefault="007F0033" w:rsidP="00964FA2">
      <w:pPr>
        <w:jc w:val="both"/>
        <w:rPr>
          <w:sz w:val="28"/>
          <w:szCs w:val="28"/>
          <w:lang w:val="ro-RO"/>
        </w:rPr>
      </w:pPr>
    </w:p>
    <w:p w:rsidR="007F0033" w:rsidRDefault="007F0033" w:rsidP="00964FA2">
      <w:pPr>
        <w:jc w:val="both"/>
        <w:rPr>
          <w:sz w:val="28"/>
          <w:szCs w:val="28"/>
          <w:lang w:val="ro-RO"/>
        </w:rPr>
      </w:pPr>
    </w:p>
    <w:p w:rsidR="00060BB0" w:rsidRDefault="00060BB0" w:rsidP="00964FA2">
      <w:pPr>
        <w:jc w:val="both"/>
        <w:rPr>
          <w:sz w:val="28"/>
          <w:szCs w:val="28"/>
          <w:lang w:val="ro-RO"/>
        </w:rPr>
      </w:pPr>
    </w:p>
    <w:p w:rsidR="005E0E26" w:rsidRDefault="005E0E26" w:rsidP="00964FA2">
      <w:pPr>
        <w:jc w:val="both"/>
        <w:rPr>
          <w:sz w:val="28"/>
          <w:szCs w:val="28"/>
          <w:lang w:val="ro-RO"/>
        </w:rPr>
      </w:pPr>
    </w:p>
    <w:p w:rsidR="005E0E26" w:rsidRDefault="005E0E26" w:rsidP="00964FA2">
      <w:pPr>
        <w:jc w:val="both"/>
        <w:rPr>
          <w:sz w:val="28"/>
          <w:szCs w:val="28"/>
          <w:lang w:val="ro-RO"/>
        </w:rPr>
      </w:pPr>
    </w:p>
    <w:p w:rsidR="007F0033" w:rsidRDefault="007F0033" w:rsidP="00964FA2">
      <w:pPr>
        <w:jc w:val="both"/>
        <w:rPr>
          <w:sz w:val="28"/>
          <w:szCs w:val="28"/>
          <w:lang w:val="ro-RO"/>
        </w:rPr>
      </w:pPr>
    </w:p>
    <w:p w:rsidR="00D1595A" w:rsidRDefault="00D1595A" w:rsidP="00964FA2">
      <w:pPr>
        <w:jc w:val="both"/>
        <w:rPr>
          <w:sz w:val="28"/>
          <w:szCs w:val="28"/>
          <w:lang w:val="ro-RO"/>
        </w:rPr>
      </w:pPr>
    </w:p>
    <w:p w:rsidR="00625AF3" w:rsidRDefault="00625AF3" w:rsidP="00964FA2">
      <w:pPr>
        <w:jc w:val="both"/>
        <w:rPr>
          <w:sz w:val="28"/>
          <w:szCs w:val="28"/>
          <w:lang w:val="ro-RO"/>
        </w:rPr>
      </w:pPr>
    </w:p>
    <w:p w:rsidR="007F0033" w:rsidRDefault="007F0033" w:rsidP="00964FA2">
      <w:pPr>
        <w:jc w:val="both"/>
        <w:rPr>
          <w:sz w:val="28"/>
          <w:szCs w:val="28"/>
          <w:lang w:val="ro-RO"/>
        </w:rPr>
      </w:pPr>
    </w:p>
    <w:p w:rsidR="00950E06" w:rsidRPr="00950E06" w:rsidRDefault="00950E06" w:rsidP="00950E06">
      <w:pPr>
        <w:numPr>
          <w:ilvl w:val="0"/>
          <w:numId w:val="6"/>
        </w:numPr>
        <w:ind w:left="360"/>
        <w:jc w:val="center"/>
        <w:rPr>
          <w:lang w:val="ro-RO"/>
        </w:rPr>
      </w:pPr>
      <w:r w:rsidRPr="00950E06">
        <w:rPr>
          <w:b/>
          <w:lang w:val="ro-RO"/>
        </w:rPr>
        <w:t>INTRODUCERE</w:t>
      </w:r>
    </w:p>
    <w:p w:rsidR="00950E06" w:rsidRPr="00950E06" w:rsidRDefault="00950E06" w:rsidP="00950E06">
      <w:pPr>
        <w:ind w:left="360"/>
        <w:rPr>
          <w:lang w:val="ro-RO"/>
        </w:rPr>
      </w:pPr>
    </w:p>
    <w:p w:rsidR="00263DDB" w:rsidRPr="00106EFF" w:rsidRDefault="00263DDB" w:rsidP="004C0F87">
      <w:pPr>
        <w:jc w:val="both"/>
        <w:rPr>
          <w:sz w:val="28"/>
          <w:szCs w:val="28"/>
          <w:lang w:val="ro-RO"/>
        </w:rPr>
      </w:pPr>
      <w:r w:rsidRPr="00106EFF">
        <w:rPr>
          <w:sz w:val="28"/>
          <w:szCs w:val="28"/>
          <w:lang w:val="ro-RO"/>
        </w:rPr>
        <w:t xml:space="preserve">La solicitarea </w:t>
      </w:r>
      <w:r w:rsidR="007C46A6" w:rsidRPr="00106EFF">
        <w:rPr>
          <w:sz w:val="28"/>
          <w:szCs w:val="28"/>
          <w:lang w:val="ro-RO"/>
        </w:rPr>
        <w:t>Consiliul</w:t>
      </w:r>
      <w:r w:rsidR="000E1749">
        <w:rPr>
          <w:sz w:val="28"/>
          <w:szCs w:val="28"/>
          <w:lang w:val="ro-RO"/>
        </w:rPr>
        <w:t>ui</w:t>
      </w:r>
      <w:r w:rsidR="007C46A6" w:rsidRPr="00106EFF">
        <w:rPr>
          <w:sz w:val="28"/>
          <w:szCs w:val="28"/>
          <w:lang w:val="ro-RO"/>
        </w:rPr>
        <w:t xml:space="preserve"> Naţional pentru Asistenţă Juridică Garantată de Stat </w:t>
      </w:r>
      <w:r w:rsidR="007C46A6">
        <w:rPr>
          <w:sz w:val="28"/>
          <w:szCs w:val="28"/>
          <w:lang w:val="ro-RO"/>
        </w:rPr>
        <w:t>(</w:t>
      </w:r>
      <w:r w:rsidR="002920A2" w:rsidRPr="00106EFF">
        <w:rPr>
          <w:sz w:val="28"/>
          <w:szCs w:val="28"/>
          <w:lang w:val="ro-RO"/>
        </w:rPr>
        <w:t>CNAJGS</w:t>
      </w:r>
      <w:r w:rsidR="007C46A6">
        <w:rPr>
          <w:sz w:val="28"/>
          <w:szCs w:val="28"/>
          <w:lang w:val="ro-RO"/>
        </w:rPr>
        <w:t>)</w:t>
      </w:r>
      <w:r w:rsidR="002920A2" w:rsidRPr="00106EFF">
        <w:rPr>
          <w:sz w:val="28"/>
          <w:szCs w:val="28"/>
          <w:lang w:val="ro-RO"/>
        </w:rPr>
        <w:t xml:space="preserve"> şi </w:t>
      </w:r>
      <w:r w:rsidR="00D76ABC">
        <w:rPr>
          <w:sz w:val="28"/>
          <w:szCs w:val="28"/>
          <w:lang w:val="ro-RO"/>
        </w:rPr>
        <w:t xml:space="preserve">a </w:t>
      </w:r>
      <w:r w:rsidRPr="00106EFF">
        <w:rPr>
          <w:sz w:val="28"/>
          <w:szCs w:val="28"/>
          <w:lang w:val="ro-RO"/>
        </w:rPr>
        <w:t>proiectului PNUD -</w:t>
      </w:r>
      <w:r w:rsidR="00180362">
        <w:rPr>
          <w:sz w:val="28"/>
          <w:szCs w:val="28"/>
          <w:lang w:val="ro-RO"/>
        </w:rPr>
        <w:t xml:space="preserve"> </w:t>
      </w:r>
      <w:r w:rsidRPr="000E1749">
        <w:rPr>
          <w:sz w:val="28"/>
          <w:szCs w:val="28"/>
          <w:lang w:val="ro-RO"/>
        </w:rPr>
        <w:t>Moldova</w:t>
      </w:r>
      <w:r w:rsidR="005E0E26" w:rsidRPr="000E1749">
        <w:rPr>
          <w:sz w:val="28"/>
          <w:szCs w:val="28"/>
          <w:lang w:val="ro-RO"/>
        </w:rPr>
        <w:t xml:space="preserve"> „</w:t>
      </w:r>
      <w:r w:rsidR="000E1749" w:rsidRPr="000E1749">
        <w:rPr>
          <w:sz w:val="28"/>
          <w:szCs w:val="28"/>
          <w:lang w:val="pt-BR"/>
        </w:rPr>
        <w:t>Suportul pentru Reformarea sectorului Justi</w:t>
      </w:r>
      <w:r w:rsidR="000E1749" w:rsidRPr="000E1749">
        <w:rPr>
          <w:sz w:val="28"/>
          <w:szCs w:val="28"/>
          <w:lang w:val="ro-RO"/>
        </w:rPr>
        <w:t>ţiei în Moldova</w:t>
      </w:r>
      <w:r w:rsidR="005E0E26" w:rsidRPr="000E1749">
        <w:rPr>
          <w:sz w:val="28"/>
          <w:szCs w:val="28"/>
          <w:lang w:val="ro-RO"/>
        </w:rPr>
        <w:t xml:space="preserve">”, </w:t>
      </w:r>
      <w:r w:rsidR="005E0E26" w:rsidRPr="00106EFF">
        <w:rPr>
          <w:sz w:val="28"/>
          <w:szCs w:val="28"/>
          <w:lang w:val="ro-RO"/>
        </w:rPr>
        <w:t>a</w:t>
      </w:r>
      <w:r w:rsidRPr="00106EFF">
        <w:rPr>
          <w:sz w:val="28"/>
          <w:szCs w:val="28"/>
          <w:lang w:val="ro-RO"/>
        </w:rPr>
        <w:t xml:space="preserve"> fost</w:t>
      </w:r>
      <w:r w:rsidR="005E0E26" w:rsidRPr="00106EFF">
        <w:rPr>
          <w:sz w:val="28"/>
          <w:szCs w:val="28"/>
          <w:lang w:val="ro-RO"/>
        </w:rPr>
        <w:t xml:space="preserve"> elaborat prezentul raport referitor la instruirea iniţială şi continuă a avocaţilor care acordă asistenţă juridică garantată de stat. Raportul a fost întocmit de către un </w:t>
      </w:r>
      <w:r w:rsidR="00634DE8">
        <w:rPr>
          <w:sz w:val="28"/>
          <w:szCs w:val="28"/>
          <w:lang w:val="ro-RO"/>
        </w:rPr>
        <w:t>expert</w:t>
      </w:r>
      <w:r w:rsidR="005E0E26" w:rsidRPr="00106EFF">
        <w:rPr>
          <w:sz w:val="28"/>
          <w:szCs w:val="28"/>
          <w:lang w:val="ro-RO"/>
        </w:rPr>
        <w:t xml:space="preserve"> naţional, în consultare cu doi membri ai </w:t>
      </w:r>
      <w:r w:rsidR="00D76ABC">
        <w:rPr>
          <w:sz w:val="28"/>
          <w:szCs w:val="28"/>
          <w:lang w:val="ro-RO"/>
        </w:rPr>
        <w:t>CNAJGS</w:t>
      </w:r>
      <w:r w:rsidR="005E0E26" w:rsidRPr="00106EFF">
        <w:rPr>
          <w:sz w:val="28"/>
          <w:szCs w:val="28"/>
          <w:lang w:val="ro-RO"/>
        </w:rPr>
        <w:t xml:space="preserve">. </w:t>
      </w:r>
    </w:p>
    <w:p w:rsidR="005E0E26" w:rsidRPr="00106EFF" w:rsidRDefault="005E0E26" w:rsidP="004C0F87">
      <w:pPr>
        <w:jc w:val="both"/>
        <w:rPr>
          <w:sz w:val="28"/>
          <w:szCs w:val="28"/>
          <w:lang w:val="ro-RO"/>
        </w:rPr>
      </w:pPr>
    </w:p>
    <w:p w:rsidR="00747D5B" w:rsidRPr="005009D1" w:rsidRDefault="007C46A6" w:rsidP="005009D1">
      <w:pPr>
        <w:jc w:val="both"/>
        <w:rPr>
          <w:sz w:val="28"/>
          <w:szCs w:val="28"/>
          <w:lang w:val="ro-RO"/>
        </w:rPr>
      </w:pPr>
      <w:r w:rsidRPr="005009D1">
        <w:rPr>
          <w:sz w:val="28"/>
          <w:szCs w:val="28"/>
          <w:lang w:val="ro-RO"/>
        </w:rPr>
        <w:t xml:space="preserve">Serviciile prestate de  persoanele autorizate să acorde asistenţă juridică garantată de stat trebuie să corespundă bunelor practici profesionale în materie juridică, normelor materiale şi procedurale şi să rezulte dintr-o conduită profesională şi corectă. Calitatea </w:t>
      </w:r>
      <w:r w:rsidR="005E1CF9">
        <w:rPr>
          <w:sz w:val="28"/>
          <w:szCs w:val="28"/>
          <w:lang w:val="ro-RO"/>
        </w:rPr>
        <w:t xml:space="preserve">serviciilor juridice </w:t>
      </w:r>
      <w:r w:rsidRPr="005009D1">
        <w:rPr>
          <w:sz w:val="28"/>
          <w:szCs w:val="28"/>
          <w:lang w:val="ro-RO"/>
        </w:rPr>
        <w:t xml:space="preserve">este examinată ca un rezultat al eforturilor de instruire, educare a avocaţilor şi </w:t>
      </w:r>
      <w:r w:rsidR="005E1CF9">
        <w:rPr>
          <w:sz w:val="28"/>
          <w:szCs w:val="28"/>
          <w:lang w:val="ro-RO"/>
        </w:rPr>
        <w:t xml:space="preserve">de </w:t>
      </w:r>
      <w:r w:rsidRPr="005009D1">
        <w:rPr>
          <w:sz w:val="28"/>
          <w:szCs w:val="28"/>
          <w:lang w:val="ro-RO"/>
        </w:rPr>
        <w:t xml:space="preserve">optimizare a procedeelor şi regulilor de lucru. CNAJGS </w:t>
      </w:r>
      <w:r w:rsidR="00C57B6E" w:rsidRPr="005009D1">
        <w:rPr>
          <w:sz w:val="28"/>
          <w:szCs w:val="28"/>
          <w:lang w:val="ro-RO"/>
        </w:rPr>
        <w:t xml:space="preserve">vede </w:t>
      </w:r>
      <w:r w:rsidR="003D7F89" w:rsidRPr="005009D1">
        <w:rPr>
          <w:sz w:val="28"/>
          <w:szCs w:val="28"/>
          <w:lang w:val="ro-RO"/>
        </w:rPr>
        <w:t xml:space="preserve">admiterea în sistemul de asistenţă juridică garantată de stat, </w:t>
      </w:r>
      <w:r w:rsidR="00C57B6E" w:rsidRPr="005009D1">
        <w:rPr>
          <w:sz w:val="28"/>
          <w:szCs w:val="28"/>
          <w:lang w:val="ro-RO"/>
        </w:rPr>
        <w:t>instruirea iniţială şi continuă a avocaţilor</w:t>
      </w:r>
      <w:r w:rsidR="003D7F89" w:rsidRPr="005009D1">
        <w:rPr>
          <w:sz w:val="28"/>
          <w:szCs w:val="28"/>
          <w:lang w:val="ro-RO"/>
        </w:rPr>
        <w:t xml:space="preserve">, monitorizarea calităţii serviciilor prestate </w:t>
      </w:r>
      <w:r w:rsidR="00C57B6E" w:rsidRPr="005009D1">
        <w:rPr>
          <w:sz w:val="28"/>
          <w:szCs w:val="28"/>
          <w:lang w:val="ro-RO"/>
        </w:rPr>
        <w:t xml:space="preserve">ca fiind </w:t>
      </w:r>
      <w:r w:rsidR="005009D1" w:rsidRPr="005009D1">
        <w:rPr>
          <w:sz w:val="28"/>
          <w:szCs w:val="28"/>
          <w:lang w:val="ro-RO"/>
        </w:rPr>
        <w:t>elemente</w:t>
      </w:r>
      <w:r w:rsidR="00C57B6E" w:rsidRPr="005009D1">
        <w:rPr>
          <w:sz w:val="28"/>
          <w:szCs w:val="28"/>
          <w:lang w:val="ro-RO"/>
        </w:rPr>
        <w:t xml:space="preserve"> de asigurare a calităţii asistenţei juridice garantate de stat</w:t>
      </w:r>
      <w:r w:rsidR="003D7F89" w:rsidRPr="005009D1">
        <w:rPr>
          <w:sz w:val="28"/>
          <w:szCs w:val="28"/>
          <w:lang w:val="ro-RO"/>
        </w:rPr>
        <w:t xml:space="preserve">  (</w:t>
      </w:r>
      <w:r w:rsidR="005009D1" w:rsidRPr="005009D1">
        <w:rPr>
          <w:sz w:val="28"/>
          <w:szCs w:val="28"/>
          <w:lang w:val="ro-RO"/>
        </w:rPr>
        <w:t xml:space="preserve">vezi: </w:t>
      </w:r>
      <w:r w:rsidR="005009D1" w:rsidRPr="005009D1">
        <w:rPr>
          <w:sz w:val="28"/>
          <w:szCs w:val="28"/>
          <w:lang w:val="en-US"/>
        </w:rPr>
        <w:t xml:space="preserve">Conceptul mecanismului de </w:t>
      </w:r>
      <w:r w:rsidR="005009D1" w:rsidRPr="005009D1">
        <w:rPr>
          <w:sz w:val="28"/>
          <w:szCs w:val="28"/>
          <w:lang w:val="ro-MD"/>
        </w:rPr>
        <w:t xml:space="preserve">asigurare a calităţii asistenţei juridice garantate de stat, </w:t>
      </w:r>
      <w:r w:rsidR="005009D1" w:rsidRPr="005009D1">
        <w:rPr>
          <w:sz w:val="28"/>
          <w:szCs w:val="28"/>
          <w:lang w:val="ro-RO"/>
        </w:rPr>
        <w:t>http://cnajgs.md/ro/informatie-utila.html</w:t>
      </w:r>
      <w:r w:rsidR="003D7F89" w:rsidRPr="005009D1">
        <w:rPr>
          <w:sz w:val="28"/>
          <w:szCs w:val="28"/>
          <w:lang w:val="ro-RO"/>
        </w:rPr>
        <w:t>)</w:t>
      </w:r>
      <w:r w:rsidR="00C57B6E" w:rsidRPr="005009D1">
        <w:rPr>
          <w:sz w:val="28"/>
          <w:szCs w:val="28"/>
          <w:lang w:val="ro-RO"/>
        </w:rPr>
        <w:t xml:space="preserve">. </w:t>
      </w:r>
    </w:p>
    <w:p w:rsidR="00747D5B" w:rsidRPr="00106EFF" w:rsidRDefault="00747D5B" w:rsidP="00747D5B">
      <w:pPr>
        <w:jc w:val="both"/>
        <w:rPr>
          <w:sz w:val="28"/>
          <w:szCs w:val="28"/>
          <w:lang w:val="ro-RO"/>
        </w:rPr>
      </w:pPr>
    </w:p>
    <w:p w:rsidR="00747D5B" w:rsidRPr="00106EFF" w:rsidRDefault="00747D5B" w:rsidP="00747D5B">
      <w:pPr>
        <w:jc w:val="both"/>
        <w:rPr>
          <w:sz w:val="28"/>
          <w:szCs w:val="28"/>
          <w:lang w:val="ro-RO"/>
        </w:rPr>
      </w:pPr>
      <w:r w:rsidRPr="00106EFF">
        <w:rPr>
          <w:sz w:val="28"/>
          <w:szCs w:val="28"/>
          <w:lang w:val="ro-RO"/>
        </w:rPr>
        <w:t>În conformitate cu prevederile Legii cu privire la avocatură</w:t>
      </w:r>
      <w:r w:rsidR="00FA6056">
        <w:rPr>
          <w:sz w:val="28"/>
          <w:szCs w:val="28"/>
          <w:lang w:val="ro-RO"/>
        </w:rPr>
        <w:t xml:space="preserve"> (</w:t>
      </w:r>
      <w:r w:rsidRPr="00106EFF">
        <w:rPr>
          <w:sz w:val="28"/>
          <w:szCs w:val="28"/>
          <w:lang w:val="ro-RO"/>
        </w:rPr>
        <w:t>nr. 1260-XV din 19.07.2002</w:t>
      </w:r>
      <w:r w:rsidR="00FA6056">
        <w:rPr>
          <w:sz w:val="28"/>
          <w:szCs w:val="28"/>
          <w:lang w:val="ro-RO"/>
        </w:rPr>
        <w:t>)</w:t>
      </w:r>
      <w:r w:rsidRPr="00106EFF">
        <w:rPr>
          <w:sz w:val="28"/>
          <w:szCs w:val="28"/>
          <w:lang w:val="ro-RO"/>
        </w:rPr>
        <w:t>, precum şi a Statutului profesiei de avocat</w:t>
      </w:r>
      <w:r w:rsidR="00FA6056">
        <w:rPr>
          <w:sz w:val="28"/>
          <w:szCs w:val="28"/>
          <w:lang w:val="ro-RO"/>
        </w:rPr>
        <w:t xml:space="preserve"> (</w:t>
      </w:r>
      <w:r w:rsidRPr="00106EFF">
        <w:rPr>
          <w:sz w:val="28"/>
          <w:szCs w:val="28"/>
          <w:lang w:val="ro-RO"/>
        </w:rPr>
        <w:t>nr. 302 din 08.04.2011</w:t>
      </w:r>
      <w:r w:rsidR="00FA6056">
        <w:rPr>
          <w:sz w:val="28"/>
          <w:szCs w:val="28"/>
          <w:lang w:val="ro-RO"/>
        </w:rPr>
        <w:t>)</w:t>
      </w:r>
      <w:r w:rsidRPr="00106EFF">
        <w:rPr>
          <w:sz w:val="28"/>
          <w:szCs w:val="28"/>
          <w:lang w:val="ro-RO"/>
        </w:rPr>
        <w:t>, formarea continuă a avocaţilor este pusă în sarcina Uniunii Avocaţilor. Totodată, art. 12 din Legea cu privire la asistenţa juridică garantată de stat</w:t>
      </w:r>
      <w:r w:rsidR="00FA6056">
        <w:rPr>
          <w:sz w:val="28"/>
          <w:szCs w:val="28"/>
          <w:lang w:val="ro-RO"/>
        </w:rPr>
        <w:t xml:space="preserve"> (</w:t>
      </w:r>
      <w:r w:rsidRPr="00106EFF">
        <w:rPr>
          <w:sz w:val="28"/>
          <w:szCs w:val="28"/>
          <w:lang w:val="ro-RO"/>
        </w:rPr>
        <w:t>nr. 198-XVI din 26.07.2007</w:t>
      </w:r>
      <w:r w:rsidR="00FA6056">
        <w:rPr>
          <w:sz w:val="28"/>
          <w:szCs w:val="28"/>
          <w:lang w:val="ro-RO"/>
        </w:rPr>
        <w:t>)</w:t>
      </w:r>
      <w:r w:rsidRPr="00106EFF">
        <w:rPr>
          <w:sz w:val="28"/>
          <w:szCs w:val="28"/>
          <w:lang w:val="ro-RO"/>
        </w:rPr>
        <w:t xml:space="preserve"> statuează că, Consiliul Naţional asigură instruirea iniţială şi continuă a persoanelor antrenate în sistemul de acordare a asistenţei juridice garantate de stat. Deoarece Uniunea Avocaţilor nu are capacitate suficientă pentru a asigura organizarea </w:t>
      </w:r>
      <w:r w:rsidR="00FA6056">
        <w:rPr>
          <w:sz w:val="28"/>
          <w:szCs w:val="28"/>
          <w:lang w:val="ro-RO"/>
        </w:rPr>
        <w:t xml:space="preserve">tuturor </w:t>
      </w:r>
      <w:r w:rsidRPr="00106EFF">
        <w:rPr>
          <w:sz w:val="28"/>
          <w:szCs w:val="28"/>
          <w:lang w:val="ro-RO"/>
        </w:rPr>
        <w:t xml:space="preserve">sesiunilor de instruire pentru avocaţi, </w:t>
      </w:r>
      <w:r w:rsidR="00FA6056">
        <w:rPr>
          <w:sz w:val="28"/>
          <w:szCs w:val="28"/>
          <w:lang w:val="ro-RO"/>
        </w:rPr>
        <w:t>CNAJGS</w:t>
      </w:r>
      <w:r w:rsidRPr="00106EFF">
        <w:rPr>
          <w:sz w:val="28"/>
          <w:szCs w:val="28"/>
          <w:lang w:val="ro-RO"/>
        </w:rPr>
        <w:t xml:space="preserve"> consideră oportun </w:t>
      </w:r>
      <w:r w:rsidR="00FA6056">
        <w:rPr>
          <w:sz w:val="28"/>
          <w:szCs w:val="28"/>
          <w:lang w:val="ro-RO"/>
        </w:rPr>
        <w:t xml:space="preserve">de </w:t>
      </w:r>
      <w:r w:rsidRPr="00106EFF">
        <w:rPr>
          <w:sz w:val="28"/>
          <w:szCs w:val="28"/>
          <w:lang w:val="ro-RO"/>
        </w:rPr>
        <w:t xml:space="preserve">a organiza şi desfăşura </w:t>
      </w:r>
      <w:r w:rsidR="00FA6056">
        <w:rPr>
          <w:sz w:val="28"/>
          <w:szCs w:val="28"/>
          <w:lang w:val="ro-RO"/>
        </w:rPr>
        <w:t>activităţi</w:t>
      </w:r>
      <w:r w:rsidRPr="00106EFF">
        <w:rPr>
          <w:sz w:val="28"/>
          <w:szCs w:val="28"/>
          <w:lang w:val="ro-RO"/>
        </w:rPr>
        <w:t xml:space="preserve"> de instruire pentru avocaţii care acordă asistenţă juridică garantată de stat. </w:t>
      </w:r>
    </w:p>
    <w:p w:rsidR="00747D5B" w:rsidRPr="00106EFF" w:rsidRDefault="00747D5B" w:rsidP="00747D5B">
      <w:pPr>
        <w:jc w:val="both"/>
        <w:rPr>
          <w:sz w:val="28"/>
          <w:szCs w:val="28"/>
          <w:lang w:val="ro-RO"/>
        </w:rPr>
      </w:pPr>
    </w:p>
    <w:p w:rsidR="00747D5B" w:rsidRPr="00106EFF" w:rsidRDefault="00747D5B" w:rsidP="004A083C">
      <w:pPr>
        <w:jc w:val="both"/>
        <w:rPr>
          <w:sz w:val="28"/>
          <w:szCs w:val="28"/>
          <w:lang w:val="ro-RO"/>
        </w:rPr>
      </w:pPr>
      <w:r w:rsidRPr="00106EFF">
        <w:rPr>
          <w:sz w:val="28"/>
          <w:szCs w:val="28"/>
          <w:lang w:val="ro-RO"/>
        </w:rPr>
        <w:t xml:space="preserve">Angajamentul de a instrui avocaţii care acordă asistenţă juridică calificată garantată de stat se reflectă şi în documentele de politici ale Republicii Moldova, în particular </w:t>
      </w:r>
      <w:r w:rsidRPr="00106EFF">
        <w:rPr>
          <w:b/>
          <w:sz w:val="28"/>
          <w:szCs w:val="28"/>
          <w:lang w:val="ro-RO"/>
        </w:rPr>
        <w:t>Planul de Ac</w:t>
      </w:r>
      <w:r w:rsidR="00180362">
        <w:rPr>
          <w:b/>
          <w:sz w:val="28"/>
          <w:szCs w:val="28"/>
          <w:lang w:val="ro-RO"/>
        </w:rPr>
        <w:t>ţ</w:t>
      </w:r>
      <w:r w:rsidRPr="00106EFF">
        <w:rPr>
          <w:b/>
          <w:sz w:val="28"/>
          <w:szCs w:val="28"/>
          <w:lang w:val="ro-RO"/>
        </w:rPr>
        <w:t>iuni de implementare a SRSJ 2011 – 2016</w:t>
      </w:r>
      <w:r w:rsidR="00FA6056">
        <w:rPr>
          <w:rStyle w:val="FootnoteReference"/>
          <w:b/>
          <w:sz w:val="28"/>
          <w:szCs w:val="28"/>
          <w:lang w:val="ro-RO"/>
        </w:rPr>
        <w:footnoteReference w:id="1"/>
      </w:r>
      <w:r w:rsidR="004A083C">
        <w:rPr>
          <w:b/>
          <w:sz w:val="28"/>
          <w:szCs w:val="28"/>
          <w:lang w:val="ro-RO"/>
        </w:rPr>
        <w:t xml:space="preserve"> </w:t>
      </w:r>
      <w:r w:rsidR="004A083C" w:rsidRPr="004A083C">
        <w:rPr>
          <w:sz w:val="28"/>
          <w:szCs w:val="28"/>
          <w:lang w:val="ro-RO"/>
        </w:rPr>
        <w:t xml:space="preserve">şi </w:t>
      </w:r>
      <w:r w:rsidRPr="00106EFF">
        <w:rPr>
          <w:sz w:val="28"/>
          <w:szCs w:val="28"/>
          <w:lang w:val="ro-RO"/>
        </w:rPr>
        <w:t xml:space="preserve"> </w:t>
      </w:r>
      <w:r w:rsidRPr="00106EFF">
        <w:rPr>
          <w:b/>
          <w:sz w:val="28"/>
          <w:szCs w:val="28"/>
          <w:lang w:val="ro-RO"/>
        </w:rPr>
        <w:t>Planul Naţional de Acţiuni în Domeniul Drepturilor Omului pentru anii 2011-2014</w:t>
      </w:r>
      <w:r w:rsidR="004A083C">
        <w:rPr>
          <w:rStyle w:val="FootnoteReference"/>
          <w:b/>
          <w:sz w:val="28"/>
          <w:szCs w:val="28"/>
          <w:lang w:val="ro-RO"/>
        </w:rPr>
        <w:footnoteReference w:id="2"/>
      </w:r>
      <w:r w:rsidR="004A083C" w:rsidRPr="004A083C">
        <w:rPr>
          <w:sz w:val="28"/>
          <w:szCs w:val="28"/>
          <w:lang w:val="ro-RO"/>
        </w:rPr>
        <w:t>.</w:t>
      </w:r>
    </w:p>
    <w:p w:rsidR="00747D5B" w:rsidRPr="00106EFF" w:rsidRDefault="00D76ABC" w:rsidP="00747D5B">
      <w:pPr>
        <w:jc w:val="both"/>
        <w:rPr>
          <w:sz w:val="28"/>
          <w:szCs w:val="28"/>
          <w:lang w:val="ro-RO"/>
        </w:rPr>
      </w:pPr>
      <w:r>
        <w:rPr>
          <w:sz w:val="28"/>
          <w:szCs w:val="28"/>
          <w:lang w:val="ro-RO"/>
        </w:rPr>
        <w:lastRenderedPageBreak/>
        <w:t>În prezent</w:t>
      </w:r>
      <w:r w:rsidR="00747D5B" w:rsidRPr="00106EFF">
        <w:rPr>
          <w:sz w:val="28"/>
          <w:szCs w:val="28"/>
          <w:lang w:val="ro-RO"/>
        </w:rPr>
        <w:t xml:space="preserve">, aproximativ </w:t>
      </w:r>
      <w:r w:rsidR="00106EFF" w:rsidRPr="00106EFF">
        <w:rPr>
          <w:sz w:val="28"/>
          <w:szCs w:val="28"/>
          <w:lang w:val="ro-RO"/>
        </w:rPr>
        <w:t>500</w:t>
      </w:r>
      <w:r w:rsidR="00747D5B" w:rsidRPr="00106EFF">
        <w:rPr>
          <w:sz w:val="28"/>
          <w:szCs w:val="28"/>
          <w:lang w:val="ro-RO"/>
        </w:rPr>
        <w:t xml:space="preserve"> de avocaţi din Republica Moldova au încheiat contracte cu privire la acordarea asistenţei juridice calificate garantat</w:t>
      </w:r>
      <w:r>
        <w:rPr>
          <w:sz w:val="28"/>
          <w:szCs w:val="28"/>
          <w:lang w:val="ro-RO"/>
        </w:rPr>
        <w:t>e</w:t>
      </w:r>
      <w:r w:rsidR="00747D5B" w:rsidRPr="00106EFF">
        <w:rPr>
          <w:sz w:val="28"/>
          <w:szCs w:val="28"/>
          <w:lang w:val="ro-RO"/>
        </w:rPr>
        <w:t xml:space="preserve"> de stat cu Oficiile teritoriale ale </w:t>
      </w:r>
      <w:r w:rsidR="004A083C">
        <w:rPr>
          <w:sz w:val="28"/>
          <w:szCs w:val="28"/>
          <w:lang w:val="ro-RO"/>
        </w:rPr>
        <w:t>CNAJGS</w:t>
      </w:r>
      <w:r w:rsidR="00747D5B" w:rsidRPr="00106EFF">
        <w:rPr>
          <w:sz w:val="28"/>
          <w:szCs w:val="28"/>
          <w:lang w:val="ro-RO"/>
        </w:rPr>
        <w:t xml:space="preserve">. Întru asigurarea calităţii serviciilor juridice prestate de către avocaţi, devine imperativă organizarea sesiunilor de instruire, contribuind </w:t>
      </w:r>
      <w:r w:rsidR="000812B6">
        <w:rPr>
          <w:sz w:val="28"/>
          <w:szCs w:val="28"/>
          <w:lang w:val="ro-RO"/>
        </w:rPr>
        <w:t>astfel</w:t>
      </w:r>
      <w:r w:rsidR="00747D5B" w:rsidRPr="00106EFF">
        <w:rPr>
          <w:sz w:val="28"/>
          <w:szCs w:val="28"/>
          <w:lang w:val="ro-RO"/>
        </w:rPr>
        <w:t xml:space="preserve"> şi la cumularea celor 40 de ore de instruire continuă obligatorie, stabilite prin lege. Implementarea obiectivelor menţionate v</w:t>
      </w:r>
      <w:r w:rsidR="000812B6">
        <w:rPr>
          <w:sz w:val="28"/>
          <w:szCs w:val="28"/>
          <w:lang w:val="ro-RO"/>
        </w:rPr>
        <w:t>a</w:t>
      </w:r>
      <w:r w:rsidR="00747D5B" w:rsidRPr="00106EFF">
        <w:rPr>
          <w:sz w:val="28"/>
          <w:szCs w:val="28"/>
          <w:lang w:val="ro-RO"/>
        </w:rPr>
        <w:t xml:space="preserve"> contribui esenţial la realizarea politicii de stat în domeniul asistenţei juridice garantate de stat şi v</w:t>
      </w:r>
      <w:r w:rsidR="000812B6">
        <w:rPr>
          <w:sz w:val="28"/>
          <w:szCs w:val="28"/>
          <w:lang w:val="ro-RO"/>
        </w:rPr>
        <w:t>a</w:t>
      </w:r>
      <w:r w:rsidR="00747D5B" w:rsidRPr="00106EFF">
        <w:rPr>
          <w:sz w:val="28"/>
          <w:szCs w:val="28"/>
          <w:lang w:val="ro-RO"/>
        </w:rPr>
        <w:t xml:space="preserve"> facilita accesul efectiv, liber şi egal la lege şi la justiţie pentru persoanele vulnerabile.</w:t>
      </w:r>
    </w:p>
    <w:p w:rsidR="004D71D7" w:rsidRDefault="004D71D7" w:rsidP="004C0F87">
      <w:pPr>
        <w:jc w:val="both"/>
        <w:rPr>
          <w:sz w:val="28"/>
          <w:szCs w:val="28"/>
          <w:lang w:val="ro-RO"/>
        </w:rPr>
      </w:pPr>
    </w:p>
    <w:p w:rsidR="004D71D7" w:rsidRPr="00D76ABC" w:rsidRDefault="004D71D7" w:rsidP="004C0F87">
      <w:pPr>
        <w:jc w:val="both"/>
        <w:rPr>
          <w:sz w:val="28"/>
          <w:szCs w:val="28"/>
          <w:lang w:val="ro-RO"/>
        </w:rPr>
      </w:pPr>
      <w:r w:rsidRPr="00D76ABC">
        <w:rPr>
          <w:sz w:val="28"/>
          <w:szCs w:val="28"/>
          <w:lang w:val="ro-RO"/>
        </w:rPr>
        <w:t>În acest context, CNAJGS a considerat oportun de a consulta opinia avocaţilor, a membrilor CNAJGS, a angajaţilor aparatului administrativ al CNAJGS şi ale oficiilor teritoriale referitor la instruirea iniţială şi continuă a avocaţilor care acordă asistenţă juridică garantată de stat, aşa încât Consiliul să poate demonstra o abordare ulterioară coerentă în domeniu. La întocmirea prezentului raport au fost utilizate atât metode cantitative, cât şi metode calitative. A fost elaborat un chestionar, care a fost completat de către 101 avocaţi care acordă asistenţă juridică garantată de stat (</w:t>
      </w:r>
      <w:r w:rsidRPr="00D76ABC">
        <w:rPr>
          <w:sz w:val="28"/>
          <w:szCs w:val="28"/>
          <w:lang w:val="en-US"/>
        </w:rPr>
        <w:t xml:space="preserve">~ 20 % </w:t>
      </w:r>
      <w:r w:rsidRPr="00D76ABC">
        <w:rPr>
          <w:sz w:val="28"/>
          <w:szCs w:val="28"/>
          <w:lang w:val="ro-RO"/>
        </w:rPr>
        <w:t>din numărul total al avocaţilor care acordă asistenţă juridică garantată de stat). Chestionar</w:t>
      </w:r>
      <w:r w:rsidR="00DC0F79">
        <w:rPr>
          <w:sz w:val="28"/>
          <w:szCs w:val="28"/>
          <w:lang w:val="ro-RO"/>
        </w:rPr>
        <w:t>e</w:t>
      </w:r>
      <w:r w:rsidRPr="00D76ABC">
        <w:rPr>
          <w:sz w:val="28"/>
          <w:szCs w:val="28"/>
          <w:lang w:val="ro-RO"/>
        </w:rPr>
        <w:t>l</w:t>
      </w:r>
      <w:r w:rsidR="00DC0F79">
        <w:rPr>
          <w:sz w:val="28"/>
          <w:szCs w:val="28"/>
          <w:lang w:val="ro-RO"/>
        </w:rPr>
        <w:t>e</w:t>
      </w:r>
      <w:r w:rsidRPr="00D76ABC">
        <w:rPr>
          <w:sz w:val="28"/>
          <w:szCs w:val="28"/>
          <w:lang w:val="ro-RO"/>
        </w:rPr>
        <w:t xml:space="preserve"> a</w:t>
      </w:r>
      <w:r w:rsidR="00DC0F79">
        <w:rPr>
          <w:sz w:val="28"/>
          <w:szCs w:val="28"/>
          <w:lang w:val="ro-RO"/>
        </w:rPr>
        <w:t>u</w:t>
      </w:r>
      <w:r w:rsidRPr="00D76ABC">
        <w:rPr>
          <w:sz w:val="28"/>
          <w:szCs w:val="28"/>
          <w:lang w:val="ro-RO"/>
        </w:rPr>
        <w:t xml:space="preserve"> fost distribuit</w:t>
      </w:r>
      <w:r w:rsidR="00DC0F79">
        <w:rPr>
          <w:sz w:val="28"/>
          <w:szCs w:val="28"/>
          <w:lang w:val="ro-RO"/>
        </w:rPr>
        <w:t>e</w:t>
      </w:r>
      <w:r w:rsidRPr="00D76ABC">
        <w:rPr>
          <w:sz w:val="28"/>
          <w:szCs w:val="28"/>
          <w:lang w:val="ro-RO"/>
        </w:rPr>
        <w:t xml:space="preserve"> prin intermediul Oficiilor Teritoriale ale </w:t>
      </w:r>
      <w:r w:rsidR="00D76ABC">
        <w:rPr>
          <w:sz w:val="28"/>
          <w:szCs w:val="28"/>
          <w:lang w:val="ro-RO"/>
        </w:rPr>
        <w:t>CNAJGS</w:t>
      </w:r>
      <w:r w:rsidRPr="00D76ABC">
        <w:rPr>
          <w:sz w:val="28"/>
          <w:szCs w:val="28"/>
          <w:lang w:val="ro-RO"/>
        </w:rPr>
        <w:t>, dar colectat</w:t>
      </w:r>
      <w:r w:rsidR="00DC0F79">
        <w:rPr>
          <w:sz w:val="28"/>
          <w:szCs w:val="28"/>
          <w:lang w:val="ro-RO"/>
        </w:rPr>
        <w:t>e şi analizate</w:t>
      </w:r>
      <w:r w:rsidRPr="00D76ABC">
        <w:rPr>
          <w:sz w:val="28"/>
          <w:szCs w:val="28"/>
          <w:lang w:val="ro-RO"/>
        </w:rPr>
        <w:t xml:space="preserve"> de către un consultant independent. </w:t>
      </w:r>
      <w:r w:rsidR="00DC0F79" w:rsidRPr="00D76ABC">
        <w:rPr>
          <w:sz w:val="28"/>
          <w:szCs w:val="28"/>
          <w:lang w:val="ro-RO"/>
        </w:rPr>
        <w:t xml:space="preserve">Pentru precizarea anumitor tendinţe ce derivau din analiza chestionarelor, au fost realizate trei focus grupuri, unul cu implicarea avocaţilor la cerere care acordă asistenţă juridică garantată de stat, altul cu participarea avocaţilor publici şi unul cu reprezentanţii oficiilor teritoriale ale CNAJGS. </w:t>
      </w:r>
      <w:r w:rsidRPr="00D76ABC">
        <w:rPr>
          <w:sz w:val="28"/>
          <w:szCs w:val="28"/>
          <w:lang w:val="ro-RO"/>
        </w:rPr>
        <w:t>De asemenea, au fost realizate interviuri cu membrii CNAJGS, cu avocaţi care acordă asistenţă juridică garantată de stat, avocaţi care nu acordă asistenţă juridică garantată de stat, membri ai Consiliului Uniunii Avocaţilor, reprezentanţi ai asociaţiilor obşteşti active în domeniu şi ai partenerilor de dezvoltare, reprezentanţi ai altor instituţii interesa</w:t>
      </w:r>
      <w:r w:rsidR="00DC0F79">
        <w:rPr>
          <w:sz w:val="28"/>
          <w:szCs w:val="28"/>
          <w:lang w:val="ro-RO"/>
        </w:rPr>
        <w:t>te</w:t>
      </w:r>
      <w:r w:rsidRPr="00D76ABC">
        <w:rPr>
          <w:sz w:val="28"/>
          <w:szCs w:val="28"/>
          <w:lang w:val="ro-RO"/>
        </w:rPr>
        <w:t xml:space="preserve"> în subiectul instruirii avocaţilor. Concluziile şi recomandările preliminare ale raportului </w:t>
      </w:r>
      <w:r w:rsidR="00CF4210" w:rsidRPr="00D76ABC">
        <w:rPr>
          <w:sz w:val="28"/>
          <w:szCs w:val="28"/>
          <w:lang w:val="ro-RO"/>
        </w:rPr>
        <w:t xml:space="preserve">au fost discutate în cadrul unei mese rotunde cu participarea unei diversităţi de actori interesaţi de domeniu. </w:t>
      </w:r>
    </w:p>
    <w:p w:rsidR="00CF4210" w:rsidRPr="00CF4210" w:rsidRDefault="00CF4210" w:rsidP="004C0F87">
      <w:pPr>
        <w:jc w:val="both"/>
        <w:rPr>
          <w:sz w:val="28"/>
          <w:szCs w:val="28"/>
          <w:highlight w:val="yellow"/>
          <w:lang w:val="ro-RO"/>
        </w:rPr>
      </w:pPr>
    </w:p>
    <w:p w:rsidR="00CF4210" w:rsidRDefault="00CF4210" w:rsidP="004C0F87">
      <w:pPr>
        <w:jc w:val="both"/>
        <w:rPr>
          <w:sz w:val="28"/>
          <w:szCs w:val="28"/>
          <w:lang w:val="ro-RO"/>
        </w:rPr>
      </w:pPr>
      <w:r w:rsidRPr="00DC0F79">
        <w:rPr>
          <w:sz w:val="28"/>
          <w:szCs w:val="28"/>
          <w:lang w:val="ro-RO"/>
        </w:rPr>
        <w:t xml:space="preserve">Raportul poate fi de un real folos pentru instituţiile interesate în dezvoltarea sistemului de instruire a avocaţilor, în special pentru CNAJGS </w:t>
      </w:r>
      <w:r w:rsidR="00DC0F79" w:rsidRPr="00DC0F79">
        <w:rPr>
          <w:sz w:val="28"/>
          <w:szCs w:val="28"/>
          <w:lang w:val="ro-RO"/>
        </w:rPr>
        <w:t>în formularea politicii sale ulterioare privind contribuirea la instruirea avocaţilor din Republica Moldova.</w:t>
      </w:r>
    </w:p>
    <w:p w:rsidR="004D71D7" w:rsidRDefault="004D71D7" w:rsidP="004C0F87">
      <w:pPr>
        <w:jc w:val="both"/>
        <w:rPr>
          <w:sz w:val="28"/>
          <w:szCs w:val="28"/>
          <w:lang w:val="ro-RO"/>
        </w:rPr>
      </w:pPr>
    </w:p>
    <w:p w:rsidR="00263DDB" w:rsidRDefault="00263DDB" w:rsidP="003C52B2">
      <w:pPr>
        <w:jc w:val="both"/>
        <w:rPr>
          <w:sz w:val="28"/>
          <w:szCs w:val="28"/>
          <w:lang w:val="ro-RO"/>
        </w:rPr>
      </w:pPr>
    </w:p>
    <w:p w:rsidR="00090E93" w:rsidRDefault="00090E93" w:rsidP="003C52B2">
      <w:pPr>
        <w:jc w:val="both"/>
        <w:rPr>
          <w:sz w:val="28"/>
          <w:szCs w:val="28"/>
          <w:lang w:val="ro-RO"/>
        </w:rPr>
      </w:pPr>
    </w:p>
    <w:p w:rsidR="00DC0F79" w:rsidRDefault="00DC0F79" w:rsidP="003C52B2">
      <w:pPr>
        <w:jc w:val="both"/>
        <w:rPr>
          <w:sz w:val="28"/>
          <w:szCs w:val="28"/>
          <w:lang w:val="ro-RO"/>
        </w:rPr>
      </w:pPr>
    </w:p>
    <w:p w:rsidR="00DC0F79" w:rsidRDefault="00DC0F79" w:rsidP="003C52B2">
      <w:pPr>
        <w:jc w:val="both"/>
        <w:rPr>
          <w:sz w:val="28"/>
          <w:szCs w:val="28"/>
          <w:lang w:val="ro-RO"/>
        </w:rPr>
      </w:pPr>
    </w:p>
    <w:p w:rsidR="00E40538" w:rsidRDefault="00E40538" w:rsidP="003C52B2">
      <w:pPr>
        <w:jc w:val="both"/>
        <w:rPr>
          <w:sz w:val="28"/>
          <w:szCs w:val="28"/>
          <w:lang w:val="ro-RO"/>
        </w:rPr>
      </w:pPr>
    </w:p>
    <w:p w:rsidR="00DC0F79" w:rsidRDefault="00DC0F79" w:rsidP="003C52B2">
      <w:pPr>
        <w:jc w:val="both"/>
        <w:rPr>
          <w:sz w:val="28"/>
          <w:szCs w:val="28"/>
          <w:lang w:val="ro-RO"/>
        </w:rPr>
      </w:pPr>
    </w:p>
    <w:p w:rsidR="00950E06" w:rsidRPr="00090E93" w:rsidRDefault="00950E06" w:rsidP="00950E06">
      <w:pPr>
        <w:numPr>
          <w:ilvl w:val="0"/>
          <w:numId w:val="6"/>
        </w:numPr>
        <w:jc w:val="center"/>
        <w:rPr>
          <w:sz w:val="28"/>
          <w:szCs w:val="28"/>
          <w:lang w:val="ro-RO"/>
        </w:rPr>
      </w:pPr>
      <w:r w:rsidRPr="00090E93">
        <w:rPr>
          <w:b/>
          <w:sz w:val="28"/>
          <w:szCs w:val="28"/>
          <w:lang w:val="ro-MD"/>
        </w:rPr>
        <w:t xml:space="preserve">SINTEZA CONCLUZIILOR </w:t>
      </w:r>
      <w:r w:rsidRPr="00090E93">
        <w:rPr>
          <w:b/>
          <w:sz w:val="28"/>
          <w:szCs w:val="28"/>
          <w:lang w:val="ro-RO"/>
        </w:rPr>
        <w:t>ŞI RECOMANDĂRILOR</w:t>
      </w:r>
    </w:p>
    <w:p w:rsidR="00950E06" w:rsidRDefault="00950E06" w:rsidP="00950E06">
      <w:pPr>
        <w:jc w:val="center"/>
        <w:rPr>
          <w:sz w:val="28"/>
          <w:szCs w:val="28"/>
          <w:lang w:val="ro-RO"/>
        </w:rPr>
      </w:pPr>
    </w:p>
    <w:p w:rsidR="00594BEA" w:rsidRDefault="004A0CB5" w:rsidP="00B61C75">
      <w:pPr>
        <w:numPr>
          <w:ilvl w:val="0"/>
          <w:numId w:val="11"/>
        </w:numPr>
        <w:jc w:val="both"/>
        <w:rPr>
          <w:sz w:val="28"/>
          <w:szCs w:val="28"/>
          <w:lang w:val="ro-RO"/>
        </w:rPr>
      </w:pPr>
      <w:r w:rsidRPr="00B81D4C">
        <w:rPr>
          <w:sz w:val="28"/>
          <w:szCs w:val="28"/>
          <w:lang w:val="en-US"/>
        </w:rPr>
        <w:t xml:space="preserve">Mai </w:t>
      </w:r>
      <w:r w:rsidR="00B61C75" w:rsidRPr="00B81D4C">
        <w:rPr>
          <w:sz w:val="28"/>
          <w:szCs w:val="28"/>
          <w:lang w:val="en-US"/>
        </w:rPr>
        <w:t>mult de jumătate (55 %) dintre avocaţii respondenţi la chestionar au menţionat că au beneficiat de instruire initială imediat după admiterea în sistemul de acordare a asistenţei juridice garantate de stat</w:t>
      </w:r>
      <w:r w:rsidR="00B73A9C">
        <w:rPr>
          <w:sz w:val="28"/>
          <w:szCs w:val="28"/>
          <w:lang w:val="en-US"/>
        </w:rPr>
        <w:t>.</w:t>
      </w:r>
      <w:r w:rsidR="00B61C75" w:rsidRPr="00B61C75">
        <w:rPr>
          <w:sz w:val="28"/>
          <w:szCs w:val="28"/>
          <w:lang w:val="en-US"/>
        </w:rPr>
        <w:t xml:space="preserve"> </w:t>
      </w:r>
      <w:r w:rsidR="00B73A9C" w:rsidRPr="00B73A9C">
        <w:rPr>
          <w:b/>
          <w:i/>
          <w:sz w:val="28"/>
          <w:szCs w:val="28"/>
          <w:lang w:val="en-US"/>
        </w:rPr>
        <w:t>M</w:t>
      </w:r>
      <w:r w:rsidR="00B73A9C" w:rsidRPr="00B73A9C">
        <w:rPr>
          <w:b/>
          <w:i/>
          <w:sz w:val="28"/>
          <w:szCs w:val="28"/>
          <w:lang w:val="ro-RO"/>
        </w:rPr>
        <w:t xml:space="preserve">ajoritatea </w:t>
      </w:r>
      <w:r w:rsidR="00B61C75" w:rsidRPr="00B73A9C">
        <w:rPr>
          <w:b/>
          <w:i/>
          <w:sz w:val="28"/>
          <w:szCs w:val="28"/>
          <w:lang w:val="ro-RO"/>
        </w:rPr>
        <w:t>(88 %) avocaţilor consider</w:t>
      </w:r>
      <w:r w:rsidR="00B73A9C">
        <w:rPr>
          <w:b/>
          <w:i/>
          <w:sz w:val="28"/>
          <w:szCs w:val="28"/>
          <w:lang w:val="ro-RO"/>
        </w:rPr>
        <w:t xml:space="preserve">ă </w:t>
      </w:r>
      <w:r w:rsidR="00B61C75" w:rsidRPr="00B73A9C">
        <w:rPr>
          <w:b/>
          <w:i/>
          <w:sz w:val="28"/>
          <w:szCs w:val="28"/>
          <w:lang w:val="ro-RO"/>
        </w:rPr>
        <w:t>că este necesară instruirea iniţială după admiterea în sistemul de acordare a asistenţei juridice garantate de stat</w:t>
      </w:r>
      <w:r w:rsidR="00B61C75" w:rsidRPr="00B81D4C">
        <w:rPr>
          <w:sz w:val="28"/>
          <w:szCs w:val="28"/>
          <w:lang w:val="ro-RO"/>
        </w:rPr>
        <w:t>. Se constată o diversitate a opiniilor avocaţilor referitor la numărul de ore de instruire iniţială (3-150 ore) şi referitor la subiectele ce urmează a fi incluse în cadrul acestei instruiri.</w:t>
      </w:r>
      <w:r w:rsidR="00B61C75">
        <w:rPr>
          <w:sz w:val="28"/>
          <w:szCs w:val="28"/>
          <w:lang w:val="ro-RO"/>
        </w:rPr>
        <w:t xml:space="preserve"> </w:t>
      </w:r>
    </w:p>
    <w:p w:rsidR="00594BEA" w:rsidRDefault="00594BEA" w:rsidP="00594BEA">
      <w:pPr>
        <w:ind w:left="720"/>
        <w:jc w:val="both"/>
        <w:rPr>
          <w:sz w:val="28"/>
          <w:szCs w:val="28"/>
          <w:lang w:val="ro-RO"/>
        </w:rPr>
      </w:pPr>
    </w:p>
    <w:p w:rsidR="003015FC" w:rsidRDefault="00B61C75" w:rsidP="00594BEA">
      <w:pPr>
        <w:ind w:left="720"/>
        <w:jc w:val="both"/>
        <w:rPr>
          <w:sz w:val="28"/>
          <w:szCs w:val="28"/>
          <w:lang w:val="ro-RO"/>
        </w:rPr>
      </w:pPr>
      <w:r>
        <w:rPr>
          <w:sz w:val="28"/>
          <w:szCs w:val="28"/>
          <w:lang w:val="ro-RO"/>
        </w:rPr>
        <w:t>Astfel, l</w:t>
      </w:r>
      <w:r w:rsidRPr="00B81D4C">
        <w:rPr>
          <w:sz w:val="28"/>
          <w:szCs w:val="28"/>
          <w:lang w:val="ro-RO"/>
        </w:rPr>
        <w:t xml:space="preserve">a determinarea programului de instruire iniţială, CNAJGS urmează a lua în calcul </w:t>
      </w:r>
      <w:r w:rsidRPr="00B61C75">
        <w:rPr>
          <w:b/>
          <w:i/>
          <w:sz w:val="28"/>
          <w:szCs w:val="28"/>
          <w:lang w:val="ro-RO"/>
        </w:rPr>
        <w:t>obiectivele instruirii iniţiale</w:t>
      </w:r>
      <w:r>
        <w:rPr>
          <w:sz w:val="28"/>
          <w:szCs w:val="28"/>
          <w:lang w:val="ro-RO"/>
        </w:rPr>
        <w:t xml:space="preserve"> - </w:t>
      </w:r>
      <w:r w:rsidRPr="00B81D4C">
        <w:rPr>
          <w:sz w:val="28"/>
          <w:szCs w:val="28"/>
          <w:lang w:val="ro-RO"/>
        </w:rPr>
        <w:t xml:space="preserve"> </w:t>
      </w:r>
      <w:r w:rsidRPr="00B73A9C">
        <w:rPr>
          <w:b/>
          <w:i/>
          <w:sz w:val="28"/>
          <w:szCs w:val="28"/>
          <w:lang w:val="ro-RO"/>
        </w:rPr>
        <w:t>o mai bună interacţiune dintre avocaţi şi sistemul de asistenţă juridică garantată de stat</w:t>
      </w:r>
      <w:r w:rsidRPr="00B81D4C">
        <w:rPr>
          <w:sz w:val="28"/>
          <w:szCs w:val="28"/>
          <w:lang w:val="ro-RO"/>
        </w:rPr>
        <w:t xml:space="preserve"> (aşa încât procedurile de interacţiune să fie clare pentru avocaţi; fiecare dintre prestatorii de servicii să cunoască modalitatea de preluare, evidenţă şi raportare a asistenţei juridice acordate; nivelul de remunerare să fie predictibil pentru avocaţi). </w:t>
      </w:r>
    </w:p>
    <w:p w:rsidR="003015FC" w:rsidRDefault="003015FC" w:rsidP="00594BEA">
      <w:pPr>
        <w:ind w:left="720"/>
        <w:jc w:val="both"/>
        <w:rPr>
          <w:sz w:val="28"/>
          <w:szCs w:val="28"/>
          <w:lang w:val="ro-RO"/>
        </w:rPr>
      </w:pPr>
    </w:p>
    <w:p w:rsidR="003015FC" w:rsidRDefault="00B61C75" w:rsidP="00594BEA">
      <w:pPr>
        <w:ind w:left="720"/>
        <w:jc w:val="both"/>
        <w:rPr>
          <w:sz w:val="28"/>
          <w:szCs w:val="28"/>
          <w:lang w:val="ro-RO"/>
        </w:rPr>
      </w:pPr>
      <w:r w:rsidRPr="00B81D4C">
        <w:rPr>
          <w:sz w:val="28"/>
          <w:szCs w:val="28"/>
          <w:lang w:val="ro-RO"/>
        </w:rPr>
        <w:t xml:space="preserve">De aici, urmează să treacă </w:t>
      </w:r>
      <w:r w:rsidRPr="00B61C75">
        <w:rPr>
          <w:b/>
          <w:i/>
          <w:sz w:val="28"/>
          <w:szCs w:val="28"/>
          <w:lang w:val="ro-RO"/>
        </w:rPr>
        <w:t>instruirea iniţială toţi avoca</w:t>
      </w:r>
      <w:r w:rsidR="00D1595A">
        <w:rPr>
          <w:b/>
          <w:i/>
          <w:sz w:val="28"/>
          <w:szCs w:val="28"/>
          <w:lang w:val="ro-RO"/>
        </w:rPr>
        <w:t>ţ</w:t>
      </w:r>
      <w:r w:rsidRPr="00B61C75">
        <w:rPr>
          <w:b/>
          <w:i/>
          <w:sz w:val="28"/>
          <w:szCs w:val="28"/>
          <w:lang w:val="ro-RO"/>
        </w:rPr>
        <w:t>ii admi</w:t>
      </w:r>
      <w:r w:rsidR="00D1595A">
        <w:rPr>
          <w:b/>
          <w:i/>
          <w:sz w:val="28"/>
          <w:szCs w:val="28"/>
          <w:lang w:val="ro-RO"/>
        </w:rPr>
        <w:t>ş</w:t>
      </w:r>
      <w:r w:rsidRPr="00B61C75">
        <w:rPr>
          <w:b/>
          <w:i/>
          <w:sz w:val="28"/>
          <w:szCs w:val="28"/>
          <w:lang w:val="ro-RO"/>
        </w:rPr>
        <w:t>i în sistemul de asisten</w:t>
      </w:r>
      <w:r w:rsidR="00D1595A">
        <w:rPr>
          <w:b/>
          <w:i/>
          <w:sz w:val="28"/>
          <w:szCs w:val="28"/>
          <w:lang w:val="ro-RO"/>
        </w:rPr>
        <w:t>ţ</w:t>
      </w:r>
      <w:r w:rsidRPr="00B61C75">
        <w:rPr>
          <w:b/>
          <w:i/>
          <w:sz w:val="28"/>
          <w:szCs w:val="28"/>
          <w:lang w:val="ro-RO"/>
        </w:rPr>
        <w:t>ă juridică garantată de stat în termen de 3 luni de la semnarea contractului cu OT</w:t>
      </w:r>
      <w:r w:rsidRPr="00B81D4C">
        <w:rPr>
          <w:sz w:val="28"/>
          <w:szCs w:val="28"/>
          <w:lang w:val="ro-RO"/>
        </w:rPr>
        <w:t xml:space="preserve"> </w:t>
      </w:r>
      <w:r w:rsidRPr="00B61C75">
        <w:rPr>
          <w:b/>
          <w:i/>
          <w:sz w:val="28"/>
          <w:szCs w:val="28"/>
          <w:lang w:val="ro-RO"/>
        </w:rPr>
        <w:t>al CNAJGS</w:t>
      </w:r>
      <w:r>
        <w:rPr>
          <w:i/>
          <w:sz w:val="28"/>
          <w:szCs w:val="28"/>
          <w:lang w:val="ro-RO"/>
        </w:rPr>
        <w:t xml:space="preserve"> </w:t>
      </w:r>
      <w:r w:rsidRPr="00B81D4C">
        <w:rPr>
          <w:sz w:val="28"/>
          <w:szCs w:val="28"/>
          <w:lang w:val="ro-RO"/>
        </w:rPr>
        <w:t>dar nu mai mult de 6 luni de la admiterea în sistemul asisten</w:t>
      </w:r>
      <w:r w:rsidR="00D1595A">
        <w:rPr>
          <w:sz w:val="28"/>
          <w:szCs w:val="28"/>
          <w:lang w:val="ro-RO"/>
        </w:rPr>
        <w:t>ţ</w:t>
      </w:r>
      <w:r w:rsidRPr="00B81D4C">
        <w:rPr>
          <w:sz w:val="28"/>
          <w:szCs w:val="28"/>
          <w:lang w:val="ro-RO"/>
        </w:rPr>
        <w:t>ei juridice garantate de stat.</w:t>
      </w:r>
      <w:r w:rsidR="004E3D64">
        <w:rPr>
          <w:sz w:val="28"/>
          <w:szCs w:val="28"/>
          <w:lang w:val="ro-RO"/>
        </w:rPr>
        <w:t xml:space="preserve"> </w:t>
      </w:r>
    </w:p>
    <w:p w:rsidR="003015FC" w:rsidRDefault="003015FC" w:rsidP="00594BEA">
      <w:pPr>
        <w:ind w:left="720"/>
        <w:jc w:val="both"/>
        <w:rPr>
          <w:sz w:val="28"/>
          <w:szCs w:val="28"/>
          <w:lang w:val="ro-RO"/>
        </w:rPr>
      </w:pPr>
    </w:p>
    <w:p w:rsidR="00B61C75" w:rsidRDefault="004E3D64" w:rsidP="00594BEA">
      <w:pPr>
        <w:ind w:left="720"/>
        <w:jc w:val="both"/>
        <w:rPr>
          <w:sz w:val="28"/>
          <w:szCs w:val="28"/>
          <w:lang w:val="ro-RO"/>
        </w:rPr>
      </w:pPr>
      <w:r w:rsidRPr="005740EB">
        <w:rPr>
          <w:sz w:val="28"/>
          <w:szCs w:val="28"/>
          <w:lang w:val="ro-RO"/>
        </w:rPr>
        <w:t xml:space="preserve">Adiţional, </w:t>
      </w:r>
      <w:r>
        <w:rPr>
          <w:sz w:val="28"/>
          <w:szCs w:val="28"/>
          <w:lang w:val="ro-RO"/>
        </w:rPr>
        <w:t xml:space="preserve">CNAJGS ar trebui să ia în calcul posibilitatea elaborării unui program de instruire la distanţă sau a unui </w:t>
      </w:r>
      <w:r w:rsidRPr="004650DC">
        <w:rPr>
          <w:b/>
          <w:i/>
          <w:sz w:val="28"/>
          <w:szCs w:val="28"/>
          <w:lang w:val="ro-RO"/>
        </w:rPr>
        <w:t>modul electronic de instruire</w:t>
      </w:r>
      <w:r>
        <w:rPr>
          <w:sz w:val="28"/>
          <w:szCs w:val="28"/>
          <w:lang w:val="ro-RO"/>
        </w:rPr>
        <w:t>, aşa încât urmarea acestui modul să constituie un avantaj la admiterea avocatului în sistemul de acordare a asistenţei juridice garantate de stat</w:t>
      </w:r>
    </w:p>
    <w:p w:rsidR="00B73A9C" w:rsidRDefault="00B73A9C" w:rsidP="00B73A9C">
      <w:pPr>
        <w:ind w:left="720"/>
        <w:jc w:val="both"/>
        <w:rPr>
          <w:sz w:val="28"/>
          <w:szCs w:val="28"/>
          <w:lang w:val="ro-RO"/>
        </w:rPr>
      </w:pPr>
    </w:p>
    <w:p w:rsidR="00B73A9C" w:rsidRPr="004C6037" w:rsidRDefault="00B73A9C" w:rsidP="004A0CB5">
      <w:pPr>
        <w:numPr>
          <w:ilvl w:val="0"/>
          <w:numId w:val="11"/>
        </w:numPr>
        <w:jc w:val="both"/>
        <w:rPr>
          <w:lang w:val="en-US"/>
        </w:rPr>
      </w:pPr>
      <w:r w:rsidRPr="00BA427F">
        <w:rPr>
          <w:sz w:val="28"/>
          <w:szCs w:val="28"/>
          <w:lang w:val="ro-RO"/>
        </w:rPr>
        <w:t xml:space="preserve">30 % dintre avocaţii din sistemul de asistenţă juridică garantată de stat au urmat de la 20 la 40 de ore de instruire continuă în anul 2012, 23 % - de la 10 la 20 de ore, 16 % - până la 10 ore şi doar 15 % au întrunit numărul obligatoriu de ore de instruire continuă anuală. Este îngrijorător faptul că </w:t>
      </w:r>
      <w:r w:rsidRPr="00B73A9C">
        <w:rPr>
          <w:b/>
          <w:i/>
          <w:sz w:val="28"/>
          <w:szCs w:val="28"/>
          <w:lang w:val="ro-RO"/>
        </w:rPr>
        <w:t>16 % dintre avocaţii respondenţi la chestionar nu au urmat nici o oră de instruire continuă pe parcursul anului 2012</w:t>
      </w:r>
      <w:r w:rsidRPr="00BA427F">
        <w:rPr>
          <w:sz w:val="28"/>
          <w:szCs w:val="28"/>
          <w:lang w:val="ro-RO"/>
        </w:rPr>
        <w:t xml:space="preserve">. </w:t>
      </w:r>
      <w:r w:rsidRPr="00B73A9C">
        <w:rPr>
          <w:b/>
          <w:i/>
          <w:sz w:val="28"/>
          <w:szCs w:val="28"/>
          <w:lang w:val="ro-RO"/>
        </w:rPr>
        <w:t>Intensitatea activităţilor de instruire pentru avocaţii din sistemul de asistenţă juridică garantată de stat a crescut în anul 2013, fiind vizibilă sporirea posibilităţilor de a participa la orele de instruire continuă şi chiar de a alege subiectele de interes</w:t>
      </w:r>
      <w:r w:rsidRPr="00BA427F">
        <w:rPr>
          <w:sz w:val="28"/>
          <w:szCs w:val="28"/>
          <w:lang w:val="ro-RO"/>
        </w:rPr>
        <w:t xml:space="preserve">. </w:t>
      </w:r>
      <w:r w:rsidRPr="00B73A9C">
        <w:rPr>
          <w:sz w:val="28"/>
          <w:szCs w:val="28"/>
          <w:lang w:val="en-US"/>
        </w:rPr>
        <w:t xml:space="preserve">În </w:t>
      </w:r>
      <w:r w:rsidRPr="00BA427F">
        <w:rPr>
          <w:sz w:val="28"/>
          <w:szCs w:val="28"/>
          <w:lang w:val="en-US"/>
        </w:rPr>
        <w:t xml:space="preserve">anul 2012, avocaţii din sistemul de asistenţă juridică garantată de stat au participat </w:t>
      </w:r>
      <w:r w:rsidRPr="00B73A9C">
        <w:rPr>
          <w:b/>
          <w:i/>
          <w:sz w:val="28"/>
          <w:szCs w:val="28"/>
          <w:lang w:val="en-US"/>
        </w:rPr>
        <w:t xml:space="preserve">cu precădere la cursurile organizate de către: 37 % - </w:t>
      </w:r>
      <w:r w:rsidRPr="00B73A9C">
        <w:rPr>
          <w:b/>
          <w:i/>
          <w:sz w:val="28"/>
          <w:szCs w:val="28"/>
          <w:lang w:val="en-US"/>
        </w:rPr>
        <w:lastRenderedPageBreak/>
        <w:t>CNAJGS şi partenerii săi de dezvoltare</w:t>
      </w:r>
      <w:r w:rsidRPr="00BA427F">
        <w:rPr>
          <w:sz w:val="28"/>
          <w:szCs w:val="28"/>
          <w:lang w:val="en-US"/>
        </w:rPr>
        <w:t>, 34 % - ONGuri, organizaţii internationale, agenţii ONU şi donatori, 24 % - Uniunea Avocaţilor şi partenerii săi de dezvoltare şi 5 % - altcineva</w:t>
      </w:r>
      <w:r w:rsidRPr="00B73A9C">
        <w:rPr>
          <w:sz w:val="28"/>
          <w:szCs w:val="28"/>
          <w:lang w:val="en-US"/>
        </w:rPr>
        <w:t>.</w:t>
      </w:r>
    </w:p>
    <w:p w:rsidR="004C6037" w:rsidRDefault="004C6037" w:rsidP="004A0CB5">
      <w:pPr>
        <w:pStyle w:val="ListParagraph"/>
        <w:spacing w:line="240" w:lineRule="auto"/>
      </w:pPr>
    </w:p>
    <w:p w:rsidR="004C6037" w:rsidRPr="00FA2796" w:rsidRDefault="004C6037" w:rsidP="004A0CB5">
      <w:pPr>
        <w:numPr>
          <w:ilvl w:val="0"/>
          <w:numId w:val="11"/>
        </w:numPr>
        <w:jc w:val="both"/>
        <w:rPr>
          <w:lang w:val="en-US"/>
        </w:rPr>
      </w:pPr>
      <w:r w:rsidRPr="00A53C90">
        <w:rPr>
          <w:sz w:val="28"/>
          <w:szCs w:val="28"/>
          <w:lang w:val="en-US"/>
        </w:rPr>
        <w:t>45 % dintre</w:t>
      </w:r>
      <w:r w:rsidRPr="008F473C">
        <w:rPr>
          <w:sz w:val="28"/>
          <w:szCs w:val="28"/>
          <w:lang w:val="en-US"/>
        </w:rPr>
        <w:t xml:space="preserve"> avocaţii care acordă asistenţă juridică garantată de stat consideră că numărul anual al orelor de instruire continuă trebuie să fie 20 – 40, 26 % consideră că avocaţii trebuie să urmeze 40-80 ore de instruire continuă, 18 %  - 10-20 ore de instruire continuă </w:t>
      </w:r>
      <w:r w:rsidR="00B64BA9">
        <w:rPr>
          <w:sz w:val="28"/>
          <w:szCs w:val="28"/>
          <w:lang w:val="en-US"/>
        </w:rPr>
        <w:t>an</w:t>
      </w:r>
      <w:r w:rsidRPr="004C6037">
        <w:rPr>
          <w:sz w:val="28"/>
          <w:szCs w:val="28"/>
          <w:lang w:val="en-US"/>
        </w:rPr>
        <w:t xml:space="preserve">ual. De </w:t>
      </w:r>
      <w:r w:rsidRPr="008F473C">
        <w:rPr>
          <w:sz w:val="28"/>
          <w:szCs w:val="28"/>
          <w:lang w:val="en-US"/>
        </w:rPr>
        <w:t xml:space="preserve">regulă, avocaţii cu o experienţă avansată pledează pentru un număr mai mic de ore de instruire </w:t>
      </w:r>
      <w:r w:rsidR="00B64BA9">
        <w:rPr>
          <w:sz w:val="28"/>
          <w:szCs w:val="28"/>
          <w:lang w:val="en-US"/>
        </w:rPr>
        <w:t>continuă</w:t>
      </w:r>
      <w:r w:rsidRPr="004C6037">
        <w:rPr>
          <w:sz w:val="28"/>
          <w:szCs w:val="28"/>
          <w:lang w:val="en-US"/>
        </w:rPr>
        <w:t xml:space="preserve">. </w:t>
      </w:r>
      <w:r w:rsidRPr="004C6037">
        <w:rPr>
          <w:b/>
          <w:i/>
          <w:sz w:val="28"/>
          <w:szCs w:val="28"/>
          <w:lang w:val="en-US"/>
        </w:rPr>
        <w:t xml:space="preserve">Pe </w:t>
      </w:r>
      <w:r w:rsidRPr="008F473C">
        <w:rPr>
          <w:b/>
          <w:i/>
          <w:sz w:val="28"/>
          <w:szCs w:val="28"/>
          <w:lang w:val="en-US"/>
        </w:rPr>
        <w:t xml:space="preserve">măsură ce exigenţele faţă de procedură </w:t>
      </w:r>
      <w:r w:rsidR="00B64BA9">
        <w:rPr>
          <w:b/>
          <w:i/>
          <w:sz w:val="28"/>
          <w:szCs w:val="28"/>
          <w:lang w:val="en-US"/>
        </w:rPr>
        <w:t>sunt mai</w:t>
      </w:r>
      <w:r w:rsidRPr="008F473C">
        <w:rPr>
          <w:b/>
          <w:i/>
          <w:sz w:val="28"/>
          <w:szCs w:val="28"/>
          <w:lang w:val="en-US"/>
        </w:rPr>
        <w:t xml:space="preserve"> înalte, cererea pentru instruire continuă va creşte</w:t>
      </w:r>
      <w:r w:rsidRPr="004C6037">
        <w:rPr>
          <w:sz w:val="28"/>
          <w:szCs w:val="28"/>
          <w:lang w:val="en-US"/>
        </w:rPr>
        <w:t xml:space="preserve">. </w:t>
      </w:r>
      <w:r w:rsidRPr="008F473C">
        <w:rPr>
          <w:sz w:val="28"/>
          <w:szCs w:val="28"/>
          <w:lang w:val="en-US"/>
        </w:rPr>
        <w:t xml:space="preserve">Astfel, este important ca </w:t>
      </w:r>
      <w:r w:rsidRPr="008F473C">
        <w:rPr>
          <w:b/>
          <w:i/>
          <w:sz w:val="28"/>
          <w:szCs w:val="28"/>
          <w:lang w:val="en-US"/>
        </w:rPr>
        <w:t>la activităţile de instruire formatorii să creeze contextul necesar pentru ca toate categoriile de vârstă să se bucure de mediu educational adecvat</w:t>
      </w:r>
      <w:r w:rsidRPr="008F473C">
        <w:rPr>
          <w:sz w:val="28"/>
          <w:szCs w:val="28"/>
          <w:lang w:val="en-US"/>
        </w:rPr>
        <w:t xml:space="preserve">. Totodată, este cert că </w:t>
      </w:r>
      <w:r w:rsidRPr="008F473C">
        <w:rPr>
          <w:b/>
          <w:i/>
          <w:sz w:val="28"/>
          <w:szCs w:val="28"/>
          <w:lang w:val="en-US"/>
        </w:rPr>
        <w:t>avocaţii acordă atenţie şi conştientizează importanţa instruirii continue</w:t>
      </w:r>
      <w:r w:rsidRPr="008F473C">
        <w:rPr>
          <w:sz w:val="28"/>
          <w:szCs w:val="28"/>
          <w:lang w:val="en-US"/>
        </w:rPr>
        <w:t>, mai ales în contextual modificărilor legislative şi instituţionale din domeniul justiţiei.</w:t>
      </w:r>
    </w:p>
    <w:p w:rsidR="00FA2796" w:rsidRPr="004C6037" w:rsidRDefault="00FA2796" w:rsidP="00FA2796">
      <w:pPr>
        <w:jc w:val="both"/>
        <w:rPr>
          <w:lang w:val="en-US"/>
        </w:rPr>
      </w:pPr>
    </w:p>
    <w:p w:rsidR="006134BF" w:rsidRPr="0080659E" w:rsidRDefault="006134BF" w:rsidP="006134BF">
      <w:pPr>
        <w:numPr>
          <w:ilvl w:val="0"/>
          <w:numId w:val="11"/>
        </w:numPr>
        <w:jc w:val="both"/>
        <w:rPr>
          <w:lang w:val="en-US"/>
        </w:rPr>
      </w:pPr>
      <w:r w:rsidRPr="00F904EE">
        <w:rPr>
          <w:b/>
          <w:i/>
          <w:sz w:val="28"/>
          <w:szCs w:val="28"/>
          <w:lang w:val="ro-RO"/>
        </w:rPr>
        <w:t>Majorit</w:t>
      </w:r>
      <w:r w:rsidRPr="006134BF">
        <w:rPr>
          <w:b/>
          <w:i/>
          <w:sz w:val="28"/>
          <w:szCs w:val="28"/>
          <w:lang w:val="ro-RO"/>
        </w:rPr>
        <w:t>atea avocaţilor</w:t>
      </w:r>
      <w:r w:rsidRPr="007272F4">
        <w:rPr>
          <w:sz w:val="28"/>
          <w:szCs w:val="28"/>
          <w:lang w:val="ro-RO"/>
        </w:rPr>
        <w:t xml:space="preserve"> </w:t>
      </w:r>
      <w:r w:rsidRPr="006134BF">
        <w:rPr>
          <w:b/>
          <w:i/>
          <w:sz w:val="28"/>
          <w:szCs w:val="28"/>
          <w:lang w:val="ro-RO"/>
        </w:rPr>
        <w:t>care acordă asistenţă juridică garantată de stat</w:t>
      </w:r>
      <w:r w:rsidRPr="007272F4">
        <w:rPr>
          <w:sz w:val="28"/>
          <w:szCs w:val="28"/>
          <w:lang w:val="ro-RO"/>
        </w:rPr>
        <w:t xml:space="preserve"> (52 %) </w:t>
      </w:r>
      <w:r w:rsidRPr="006134BF">
        <w:rPr>
          <w:b/>
          <w:i/>
          <w:sz w:val="28"/>
          <w:szCs w:val="28"/>
          <w:lang w:val="ro-RO"/>
        </w:rPr>
        <w:t>consideră că instruirea continuă a lor trebuie să fie oferită în egală măsură atât de către CNAJGS cât şi de către Uniunea Avocaţilor</w:t>
      </w:r>
      <w:r w:rsidRPr="007272F4">
        <w:rPr>
          <w:sz w:val="28"/>
          <w:szCs w:val="28"/>
          <w:lang w:val="ro-RO"/>
        </w:rPr>
        <w:t xml:space="preserve">. CNAJGS trebuie să aibă un rol activ, cel puţin atât timp cât sistemul de instruire continuă în cadrul Uniunii Avocaţilor încă nu este determinat. Astfel, în virtutea gradului de implicare a avocaţilor privaţi în sistemul de asistenţă juridică garantată de stat, </w:t>
      </w:r>
      <w:r w:rsidRPr="006134BF">
        <w:rPr>
          <w:b/>
          <w:i/>
          <w:sz w:val="28"/>
          <w:szCs w:val="28"/>
          <w:lang w:val="ro-RO"/>
        </w:rPr>
        <w:t>CNAJGS urmează a fi implicat în asigurarea a 20 de ore de instruire continuă a avocaţilor care acordă asistenţă juridică garantată de stat</w:t>
      </w:r>
      <w:r w:rsidRPr="007272F4">
        <w:rPr>
          <w:sz w:val="28"/>
          <w:szCs w:val="28"/>
          <w:lang w:val="ro-RO"/>
        </w:rPr>
        <w:t>.</w:t>
      </w:r>
    </w:p>
    <w:p w:rsidR="0080659E" w:rsidRDefault="0080659E" w:rsidP="0080659E">
      <w:pPr>
        <w:pStyle w:val="ListParagraph"/>
      </w:pPr>
    </w:p>
    <w:p w:rsidR="00D95779" w:rsidRPr="00D95779" w:rsidRDefault="0080659E" w:rsidP="0080659E">
      <w:pPr>
        <w:numPr>
          <w:ilvl w:val="0"/>
          <w:numId w:val="11"/>
        </w:numPr>
        <w:jc w:val="both"/>
        <w:rPr>
          <w:lang w:val="en-US"/>
        </w:rPr>
      </w:pPr>
      <w:r w:rsidRPr="00047E07">
        <w:rPr>
          <w:sz w:val="28"/>
          <w:szCs w:val="28"/>
          <w:lang w:val="ro-RO"/>
        </w:rPr>
        <w:t>Avocaţii</w:t>
      </w:r>
      <w:r w:rsidRPr="00DA7E39">
        <w:rPr>
          <w:sz w:val="28"/>
          <w:szCs w:val="28"/>
          <w:lang w:val="ro-RO"/>
        </w:rPr>
        <w:t xml:space="preserve"> cunosc faptul că există multiple oportunităţi de </w:t>
      </w:r>
      <w:r w:rsidRPr="004014C9">
        <w:rPr>
          <w:b/>
          <w:i/>
          <w:sz w:val="28"/>
          <w:szCs w:val="28"/>
          <w:lang w:val="ro-RO"/>
        </w:rPr>
        <w:t>a asigura activităţile de instruire continuă prin intermediul sau cu implicarea unor parteneri de dezvoltare, inclusiv ONG-uri, organizaţii internaţionale şi donatori</w:t>
      </w:r>
      <w:r w:rsidRPr="00DA7E39">
        <w:rPr>
          <w:sz w:val="28"/>
          <w:szCs w:val="28"/>
          <w:lang w:val="ro-RO"/>
        </w:rPr>
        <w:t xml:space="preserve">. Astfel, 60 % dintre avocaţii respondenţi la chestionar au indicat o asemenea opţiune, 59 % indicând şi opţiunea </w:t>
      </w:r>
      <w:r w:rsidRPr="004014C9">
        <w:rPr>
          <w:b/>
          <w:i/>
          <w:sz w:val="28"/>
          <w:szCs w:val="28"/>
          <w:lang w:val="ro-RO"/>
        </w:rPr>
        <w:t>implicării resurselor umane şi financiare ale CNAJGS</w:t>
      </w:r>
      <w:r w:rsidRPr="00DA7E39">
        <w:rPr>
          <w:sz w:val="28"/>
          <w:szCs w:val="28"/>
          <w:lang w:val="ro-RO"/>
        </w:rPr>
        <w:t xml:space="preserve"> (bugetul de stat). 37 % dintre respondenţii la chestionar consideră oportună şi </w:t>
      </w:r>
      <w:r w:rsidRPr="004014C9">
        <w:rPr>
          <w:b/>
          <w:i/>
          <w:sz w:val="28"/>
          <w:szCs w:val="28"/>
          <w:lang w:val="ro-RO"/>
        </w:rPr>
        <w:t>implicarea resurselor umane şi financiare ale Institutului Naţional al Justiţiei</w:t>
      </w:r>
      <w:r w:rsidRPr="00DA7E39">
        <w:rPr>
          <w:sz w:val="28"/>
          <w:szCs w:val="28"/>
          <w:lang w:val="ro-RO"/>
        </w:rPr>
        <w:t xml:space="preserve">, 35 % - implicarea resurselor umane şi financiare </w:t>
      </w:r>
      <w:r w:rsidRPr="004014C9">
        <w:rPr>
          <w:b/>
          <w:i/>
          <w:sz w:val="28"/>
          <w:szCs w:val="28"/>
          <w:lang w:val="ro-RO"/>
        </w:rPr>
        <w:t>ale Uniunii Avocaţilor</w:t>
      </w:r>
      <w:r w:rsidRPr="00DA7E39">
        <w:rPr>
          <w:sz w:val="28"/>
          <w:szCs w:val="28"/>
          <w:lang w:val="ro-RO"/>
        </w:rPr>
        <w:t xml:space="preserve">. </w:t>
      </w:r>
      <w:r w:rsidRPr="00D95779">
        <w:rPr>
          <w:b/>
          <w:i/>
          <w:sz w:val="28"/>
          <w:szCs w:val="28"/>
          <w:u w:val="single"/>
          <w:lang w:val="ro-RO"/>
        </w:rPr>
        <w:t>Avocaţii nu susţin ideea procurării de servicii de la instituţii prestatoare de servicii de instruire</w:t>
      </w:r>
      <w:r w:rsidRPr="00DA7E39">
        <w:rPr>
          <w:sz w:val="28"/>
          <w:szCs w:val="28"/>
          <w:lang w:val="ro-RO"/>
        </w:rPr>
        <w:t xml:space="preserve">. CNAJGS trebuie să ia în calcul diversitatea partenerilor de dezvoltare care pot oferi servicii calitative de instruire continuă a avocaţilor care acordă asistenţă juridică garantată de stat. </w:t>
      </w:r>
      <w:r w:rsidRPr="004014C9">
        <w:rPr>
          <w:b/>
          <w:i/>
          <w:sz w:val="28"/>
          <w:szCs w:val="28"/>
          <w:lang w:val="ro-RO"/>
        </w:rPr>
        <w:t xml:space="preserve">CNAJGS </w:t>
      </w:r>
      <w:r w:rsidRPr="00DA7E39">
        <w:rPr>
          <w:sz w:val="28"/>
          <w:szCs w:val="28"/>
          <w:lang w:val="ro-RO"/>
        </w:rPr>
        <w:t>trebuie</w:t>
      </w:r>
      <w:r w:rsidR="00D95779">
        <w:rPr>
          <w:sz w:val="28"/>
          <w:szCs w:val="28"/>
          <w:lang w:val="ro-RO"/>
        </w:rPr>
        <w:t>:</w:t>
      </w:r>
    </w:p>
    <w:p w:rsidR="00D95779" w:rsidRPr="00D95779" w:rsidRDefault="0080659E" w:rsidP="00047E07">
      <w:pPr>
        <w:numPr>
          <w:ilvl w:val="0"/>
          <w:numId w:val="12"/>
        </w:numPr>
        <w:ind w:left="1418"/>
        <w:jc w:val="both"/>
        <w:rPr>
          <w:lang w:val="en-US"/>
        </w:rPr>
      </w:pPr>
      <w:r w:rsidRPr="00DA7E39">
        <w:rPr>
          <w:sz w:val="28"/>
          <w:szCs w:val="28"/>
          <w:lang w:val="ro-RO"/>
        </w:rPr>
        <w:t xml:space="preserve"> </w:t>
      </w:r>
      <w:r w:rsidRPr="004014C9">
        <w:rPr>
          <w:b/>
          <w:i/>
          <w:sz w:val="28"/>
          <w:szCs w:val="28"/>
          <w:lang w:val="ro-RO"/>
        </w:rPr>
        <w:t>să determine</w:t>
      </w:r>
      <w:r w:rsidRPr="00DA7E39">
        <w:rPr>
          <w:sz w:val="28"/>
          <w:szCs w:val="28"/>
          <w:lang w:val="ro-RO"/>
        </w:rPr>
        <w:t xml:space="preserve"> mai întâi </w:t>
      </w:r>
      <w:r w:rsidRPr="004014C9">
        <w:rPr>
          <w:b/>
          <w:i/>
          <w:sz w:val="28"/>
          <w:szCs w:val="28"/>
          <w:lang w:val="ro-RO"/>
        </w:rPr>
        <w:t>necesităţile de instruire</w:t>
      </w:r>
      <w:r w:rsidRPr="00DA7E39">
        <w:rPr>
          <w:sz w:val="28"/>
          <w:szCs w:val="28"/>
          <w:lang w:val="ro-RO"/>
        </w:rPr>
        <w:t xml:space="preserve"> pe care le au avocaţii care acordă asistenţă juridică garantată de stat, </w:t>
      </w:r>
    </w:p>
    <w:p w:rsidR="00D95779" w:rsidRPr="00D95779" w:rsidRDefault="0080659E" w:rsidP="00047E07">
      <w:pPr>
        <w:numPr>
          <w:ilvl w:val="0"/>
          <w:numId w:val="12"/>
        </w:numPr>
        <w:ind w:left="1418"/>
        <w:jc w:val="both"/>
        <w:rPr>
          <w:lang w:val="en-US"/>
        </w:rPr>
      </w:pPr>
      <w:r w:rsidRPr="00DA7E39">
        <w:rPr>
          <w:sz w:val="28"/>
          <w:szCs w:val="28"/>
          <w:lang w:val="ro-RO"/>
        </w:rPr>
        <w:lastRenderedPageBreak/>
        <w:t xml:space="preserve">ulterior </w:t>
      </w:r>
      <w:r w:rsidRPr="00D95779">
        <w:rPr>
          <w:b/>
          <w:i/>
          <w:sz w:val="28"/>
          <w:szCs w:val="28"/>
          <w:lang w:val="ro-RO"/>
        </w:rPr>
        <w:t>să identifice care ar fi partenerii de dezvoltare interesaţi în oferirea unor anumite instruiri</w:t>
      </w:r>
      <w:r w:rsidRPr="00DA7E39">
        <w:rPr>
          <w:sz w:val="28"/>
          <w:szCs w:val="28"/>
          <w:lang w:val="ro-RO"/>
        </w:rPr>
        <w:t xml:space="preserve"> şi</w:t>
      </w:r>
    </w:p>
    <w:p w:rsidR="0080659E" w:rsidRPr="0080659E" w:rsidRDefault="0080659E" w:rsidP="00047E07">
      <w:pPr>
        <w:numPr>
          <w:ilvl w:val="0"/>
          <w:numId w:val="12"/>
        </w:numPr>
        <w:ind w:left="1418"/>
        <w:jc w:val="both"/>
        <w:rPr>
          <w:lang w:val="en-US"/>
        </w:rPr>
      </w:pPr>
      <w:r w:rsidRPr="00D95779">
        <w:rPr>
          <w:b/>
          <w:i/>
          <w:sz w:val="28"/>
          <w:szCs w:val="28"/>
          <w:lang w:val="ro-RO"/>
        </w:rPr>
        <w:t>în măsura în care subiectele nu sunt acoperite prin instruirile oferite de către partenerii de dezvoltare să implice resursele umane şi financiare ale CNAJGS, Institutului Naţional al Justiţiei şi Uniunii Avocaţilor</w:t>
      </w:r>
      <w:r w:rsidRPr="00DA7E39">
        <w:rPr>
          <w:sz w:val="28"/>
          <w:szCs w:val="28"/>
          <w:lang w:val="ro-RO"/>
        </w:rPr>
        <w:t>.</w:t>
      </w:r>
    </w:p>
    <w:p w:rsidR="00471898" w:rsidRPr="00471898" w:rsidRDefault="00471898" w:rsidP="00471898">
      <w:pPr>
        <w:pStyle w:val="ListParagraph"/>
        <w:numPr>
          <w:ilvl w:val="0"/>
          <w:numId w:val="11"/>
        </w:numPr>
        <w:spacing w:line="240" w:lineRule="auto"/>
      </w:pPr>
      <w:r w:rsidRPr="00471898">
        <w:rPr>
          <w:b/>
          <w:i/>
          <w:sz w:val="28"/>
          <w:szCs w:val="28"/>
          <w:lang w:val="ro-RO"/>
        </w:rPr>
        <w:t>Eficienţa activităţii de instruire şi atingerea obiectivelor educaţionale depinde la direct de calitatea</w:t>
      </w:r>
      <w:r w:rsidRPr="00471898">
        <w:rPr>
          <w:sz w:val="28"/>
          <w:szCs w:val="28"/>
          <w:lang w:val="ro-RO"/>
        </w:rPr>
        <w:t xml:space="preserve"> </w:t>
      </w:r>
      <w:r w:rsidRPr="00471898">
        <w:rPr>
          <w:b/>
          <w:i/>
          <w:sz w:val="28"/>
          <w:szCs w:val="28"/>
          <w:lang w:val="ro-RO"/>
        </w:rPr>
        <w:t>celor care oferă serviciile de instruire</w:t>
      </w:r>
      <w:r w:rsidRPr="00471898">
        <w:rPr>
          <w:sz w:val="28"/>
          <w:szCs w:val="28"/>
          <w:lang w:val="ro-RO"/>
        </w:rPr>
        <w:t xml:space="preserve"> – formatorii. La identificarea formatorilor, CNAJGS urmează a lua în calcul în mod special: </w:t>
      </w:r>
      <w:r w:rsidRPr="00471898">
        <w:rPr>
          <w:b/>
          <w:i/>
          <w:sz w:val="28"/>
          <w:szCs w:val="28"/>
          <w:lang w:val="ro-RO"/>
        </w:rPr>
        <w:t>experienţă de lucru în avocatură, experienţă de interacţiune cu sistemul de asistenţă juridică garantată de stat, experienţă în oferirea instruirii continue a avocaţilor, deţinerea titlului didactic şi a gradului ştiinţific</w:t>
      </w:r>
      <w:r w:rsidRPr="00471898">
        <w:rPr>
          <w:sz w:val="28"/>
          <w:szCs w:val="28"/>
          <w:lang w:val="ro-RO"/>
        </w:rPr>
        <w:t>.</w:t>
      </w:r>
    </w:p>
    <w:p w:rsidR="0080659E" w:rsidRPr="000B4F87" w:rsidRDefault="00CC7542" w:rsidP="00CC7542">
      <w:pPr>
        <w:pStyle w:val="ListParagraph"/>
        <w:numPr>
          <w:ilvl w:val="0"/>
          <w:numId w:val="11"/>
        </w:numPr>
        <w:spacing w:line="240" w:lineRule="auto"/>
      </w:pPr>
      <w:r>
        <w:rPr>
          <w:sz w:val="28"/>
          <w:szCs w:val="28"/>
          <w:lang w:val="ro-RO"/>
        </w:rPr>
        <w:t>Luând în calcul dinamica reglementărilor normativ - juridice şi a practicii judiciare naţionale</w:t>
      </w:r>
      <w:r w:rsidRPr="001073E0">
        <w:rPr>
          <w:sz w:val="28"/>
          <w:szCs w:val="28"/>
          <w:lang w:val="ro-RO"/>
        </w:rPr>
        <w:t xml:space="preserve">, </w:t>
      </w:r>
      <w:r>
        <w:rPr>
          <w:sz w:val="28"/>
          <w:szCs w:val="28"/>
          <w:lang w:val="ro-RO"/>
        </w:rPr>
        <w:t xml:space="preserve">este cert că </w:t>
      </w:r>
      <w:r w:rsidRPr="00CC7542">
        <w:rPr>
          <w:b/>
          <w:i/>
          <w:sz w:val="28"/>
          <w:szCs w:val="28"/>
          <w:lang w:val="ro-RO"/>
        </w:rPr>
        <w:t xml:space="preserve">toţi avocaţii, inclusiv cei care acordă asistenţă juridică garantată de stat trebuie să urmeze </w:t>
      </w:r>
      <w:r w:rsidR="00A13349">
        <w:rPr>
          <w:b/>
          <w:i/>
          <w:sz w:val="28"/>
          <w:szCs w:val="28"/>
          <w:lang w:val="ro-RO"/>
        </w:rPr>
        <w:t xml:space="preserve">cursuri de </w:t>
      </w:r>
      <w:r w:rsidRPr="00CC7542">
        <w:rPr>
          <w:b/>
          <w:i/>
          <w:sz w:val="28"/>
          <w:szCs w:val="28"/>
          <w:lang w:val="ro-RO"/>
        </w:rPr>
        <w:t>instruire continuă</w:t>
      </w:r>
      <w:r>
        <w:rPr>
          <w:sz w:val="28"/>
          <w:szCs w:val="28"/>
          <w:lang w:val="ro-RO"/>
        </w:rPr>
        <w:t xml:space="preserve">, totodată instruirea trebuie organizată astfel, </w:t>
      </w:r>
      <w:r w:rsidRPr="00CC7542">
        <w:rPr>
          <w:b/>
          <w:i/>
          <w:sz w:val="28"/>
          <w:szCs w:val="28"/>
          <w:lang w:val="ro-RO"/>
        </w:rPr>
        <w:t>încât avocaţii să înţeleagă şi să fie motivaţi a urma cursurile de instruire continuă</w:t>
      </w:r>
      <w:r>
        <w:rPr>
          <w:sz w:val="28"/>
          <w:szCs w:val="28"/>
          <w:lang w:val="ro-RO"/>
        </w:rPr>
        <w:t>.</w:t>
      </w:r>
    </w:p>
    <w:p w:rsidR="000B4F87" w:rsidRPr="007D1B06" w:rsidRDefault="000B4F87" w:rsidP="00CC7542">
      <w:pPr>
        <w:pStyle w:val="ListParagraph"/>
        <w:numPr>
          <w:ilvl w:val="0"/>
          <w:numId w:val="11"/>
        </w:numPr>
        <w:spacing w:line="240" w:lineRule="auto"/>
      </w:pPr>
      <w:r w:rsidRPr="000B4F87">
        <w:rPr>
          <w:b/>
          <w:i/>
          <w:sz w:val="28"/>
          <w:szCs w:val="28"/>
          <w:lang w:val="ro-RO" w:eastAsia="ro-RO"/>
        </w:rPr>
        <w:t>CNAJSG ar urma să ofere instruiri în vederea formării abilităţilor de interacţiune cu beneficiarul asistenţei juridice în general şi a celei garantate de stat în special, în domeniile în care cel mai frecvent se acordă asistenţă juridică garantată de stat</w:t>
      </w:r>
      <w:r>
        <w:rPr>
          <w:b/>
          <w:i/>
          <w:sz w:val="28"/>
          <w:szCs w:val="28"/>
          <w:lang w:val="ro-RO" w:eastAsia="ro-RO"/>
        </w:rPr>
        <w:t>.</w:t>
      </w:r>
    </w:p>
    <w:p w:rsidR="007D1B06" w:rsidRPr="00471898" w:rsidRDefault="007D1B06" w:rsidP="00CC7542">
      <w:pPr>
        <w:pStyle w:val="ListParagraph"/>
        <w:numPr>
          <w:ilvl w:val="0"/>
          <w:numId w:val="11"/>
        </w:numPr>
        <w:spacing w:line="240" w:lineRule="auto"/>
      </w:pPr>
      <w:r w:rsidRPr="007D1B06">
        <w:rPr>
          <w:sz w:val="28"/>
          <w:szCs w:val="28"/>
          <w:lang w:val="ro-RO"/>
        </w:rPr>
        <w:t xml:space="preserve">50 % dintre avocaţii respondenţi la chestionar au menţionat că participarea la activităţile de </w:t>
      </w:r>
      <w:r w:rsidRPr="007D1B06">
        <w:rPr>
          <w:bCs/>
          <w:sz w:val="28"/>
          <w:szCs w:val="28"/>
          <w:lang w:val="ro-RO"/>
        </w:rPr>
        <w:t xml:space="preserve">instruire continuă urmează a fi luată în calcul la includerea </w:t>
      </w:r>
      <w:r w:rsidRPr="007D1B06">
        <w:rPr>
          <w:sz w:val="28"/>
          <w:szCs w:val="28"/>
          <w:lang w:val="ro-RO"/>
        </w:rPr>
        <w:t>avocaţilor în listele specializate de prestatori de servicii; 48 %  - la prelungirea contractelor de către OT ale CNAJGS cu avocaţii care sunt deja în sistemul AJGS; 44 %  - la oferirea suportului metodic avocaţilor, 28 % - la stabilirea frecvenţei monitorizării activităţii de acordare a AJGS de către avocaţi.</w:t>
      </w:r>
      <w:r>
        <w:rPr>
          <w:sz w:val="28"/>
          <w:szCs w:val="28"/>
          <w:lang w:val="ro-RO"/>
        </w:rPr>
        <w:t xml:space="preserve"> Reprezentanţii CNAJGS au reiterat despre importanţa includerii în listele specializare cu adevărat a celor care deţin competenţe avansate în anumit domeniu. Astfel, </w:t>
      </w:r>
      <w:r w:rsidRPr="007D1B06">
        <w:rPr>
          <w:b/>
          <w:i/>
          <w:sz w:val="28"/>
          <w:szCs w:val="28"/>
          <w:lang w:val="ro-RO"/>
        </w:rPr>
        <w:t xml:space="preserve">participarea la activităţile de </w:t>
      </w:r>
      <w:r w:rsidRPr="007D1B06">
        <w:rPr>
          <w:b/>
          <w:bCs/>
          <w:i/>
          <w:sz w:val="28"/>
          <w:szCs w:val="28"/>
          <w:lang w:val="ro-RO"/>
        </w:rPr>
        <w:t xml:space="preserve">instruire continuă urmează a fi luată în calcul la includerea </w:t>
      </w:r>
      <w:r w:rsidRPr="007D1B06">
        <w:rPr>
          <w:b/>
          <w:i/>
          <w:sz w:val="28"/>
          <w:szCs w:val="28"/>
          <w:lang w:val="ro-RO"/>
        </w:rPr>
        <w:t>avocaţilor în listele specializate de prestatori de servicii şi la prelungirea contractelor de către OT ale CNAJGS cu avocaţii care sunt deja în sistemul AJGS</w:t>
      </w:r>
      <w:r>
        <w:rPr>
          <w:b/>
          <w:i/>
          <w:sz w:val="28"/>
          <w:szCs w:val="28"/>
          <w:lang w:val="ro-RO"/>
        </w:rPr>
        <w:t>.</w:t>
      </w:r>
    </w:p>
    <w:p w:rsidR="004C6037" w:rsidRPr="00B73A9C" w:rsidRDefault="004C6037" w:rsidP="006134BF">
      <w:pPr>
        <w:jc w:val="both"/>
        <w:rPr>
          <w:lang w:val="en-US"/>
        </w:rPr>
      </w:pPr>
    </w:p>
    <w:p w:rsidR="00B73A9C" w:rsidRPr="00B81D4C" w:rsidRDefault="00B73A9C" w:rsidP="00B73A9C">
      <w:pPr>
        <w:jc w:val="both"/>
        <w:rPr>
          <w:sz w:val="28"/>
          <w:szCs w:val="28"/>
          <w:lang w:val="ro-RO"/>
        </w:rPr>
      </w:pPr>
    </w:p>
    <w:p w:rsidR="00AD024D" w:rsidRDefault="00AD024D" w:rsidP="00950E06">
      <w:pPr>
        <w:jc w:val="center"/>
        <w:rPr>
          <w:sz w:val="28"/>
          <w:szCs w:val="28"/>
          <w:lang w:val="ro-RO"/>
        </w:rPr>
      </w:pPr>
    </w:p>
    <w:p w:rsidR="00AD024D" w:rsidRDefault="00AD024D"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070DD4" w:rsidRDefault="00070DD4" w:rsidP="00950E06">
      <w:pPr>
        <w:jc w:val="center"/>
        <w:rPr>
          <w:sz w:val="28"/>
          <w:szCs w:val="28"/>
          <w:lang w:val="ro-RO"/>
        </w:rPr>
      </w:pPr>
    </w:p>
    <w:p w:rsidR="00950E06" w:rsidRPr="00090E93" w:rsidRDefault="00950E06" w:rsidP="00950E06">
      <w:pPr>
        <w:numPr>
          <w:ilvl w:val="0"/>
          <w:numId w:val="6"/>
        </w:numPr>
        <w:jc w:val="center"/>
        <w:rPr>
          <w:sz w:val="28"/>
          <w:szCs w:val="28"/>
          <w:lang w:val="ro-RO"/>
        </w:rPr>
      </w:pPr>
      <w:r w:rsidRPr="00090E93">
        <w:rPr>
          <w:b/>
          <w:bCs/>
          <w:sz w:val="28"/>
          <w:szCs w:val="28"/>
          <w:lang w:val="ro-MD"/>
        </w:rPr>
        <w:t>CONSTATĂRI PRIVIND INSTRUIREA INIŢIALĂ ŞI CONTINUĂ A AVOCAŢILOR CARE ACORDĂ ASISTENŢĂ JURIDICĂ GARANTATĂ DE STAT</w:t>
      </w:r>
    </w:p>
    <w:p w:rsidR="007D1B99" w:rsidRDefault="007D1B99" w:rsidP="007D1B99">
      <w:pPr>
        <w:rPr>
          <w:sz w:val="28"/>
          <w:szCs w:val="28"/>
          <w:lang w:val="ro-RO"/>
        </w:rPr>
      </w:pPr>
    </w:p>
    <w:p w:rsidR="007D1B99" w:rsidRDefault="007D1B99" w:rsidP="007D1B99">
      <w:pPr>
        <w:rPr>
          <w:sz w:val="28"/>
          <w:szCs w:val="28"/>
          <w:lang w:val="ro-RO"/>
        </w:rPr>
      </w:pPr>
    </w:p>
    <w:p w:rsidR="007D1B99" w:rsidRDefault="007D1B99" w:rsidP="00DC0F79">
      <w:pPr>
        <w:numPr>
          <w:ilvl w:val="1"/>
          <w:numId w:val="6"/>
        </w:numPr>
        <w:rPr>
          <w:b/>
          <w:sz w:val="28"/>
          <w:szCs w:val="28"/>
          <w:lang w:val="ro-RO"/>
        </w:rPr>
      </w:pPr>
      <w:r w:rsidRPr="007D1B99">
        <w:rPr>
          <w:b/>
          <w:sz w:val="28"/>
          <w:szCs w:val="28"/>
          <w:lang w:val="ro-RO"/>
        </w:rPr>
        <w:t>INSTRUIREA INIŢIALĂ</w:t>
      </w:r>
    </w:p>
    <w:p w:rsidR="00DC0F79" w:rsidRPr="007D1B99" w:rsidRDefault="00DC0F79" w:rsidP="00DC0F79">
      <w:pPr>
        <w:ind w:left="780"/>
        <w:rPr>
          <w:b/>
          <w:sz w:val="28"/>
          <w:szCs w:val="28"/>
          <w:lang w:val="ro-RO"/>
        </w:rPr>
      </w:pPr>
    </w:p>
    <w:p w:rsidR="00AD024D" w:rsidRPr="00AD024D" w:rsidRDefault="00AD024D" w:rsidP="009E6172">
      <w:pPr>
        <w:jc w:val="center"/>
        <w:rPr>
          <w:i/>
          <w:lang w:val="ro-RO"/>
        </w:rPr>
      </w:pPr>
      <w:r w:rsidRPr="00AD024D">
        <w:rPr>
          <w:i/>
          <w:lang w:val="ro-RO"/>
        </w:rPr>
        <w:t xml:space="preserve">A-ţi beneficiat de </w:t>
      </w:r>
      <w:r w:rsidRPr="00AD024D">
        <w:rPr>
          <w:b/>
          <w:bCs/>
          <w:i/>
          <w:lang w:val="ro-RO"/>
        </w:rPr>
        <w:t>instruire</w:t>
      </w:r>
      <w:r w:rsidRPr="00AD024D">
        <w:rPr>
          <w:i/>
          <w:lang w:val="ro-RO"/>
        </w:rPr>
        <w:t xml:space="preserve"> iniţială (privind sistemul de asistenţă juridică garantată de stat), </w:t>
      </w:r>
      <w:r w:rsidRPr="00AD024D">
        <w:rPr>
          <w:b/>
          <w:bCs/>
          <w:i/>
          <w:lang w:val="ro-RO"/>
        </w:rPr>
        <w:t>imediat după admiterea în sistemul</w:t>
      </w:r>
      <w:r w:rsidRPr="00AD024D">
        <w:rPr>
          <w:i/>
          <w:lang w:val="ro-RO"/>
        </w:rPr>
        <w:t xml:space="preserve"> de acordare a asistenţei juridice garantate de stat?</w:t>
      </w:r>
    </w:p>
    <w:p w:rsidR="00AD024D" w:rsidRDefault="00C43127" w:rsidP="00AD024D">
      <w:pPr>
        <w:jc w:val="center"/>
        <w:rPr>
          <w:lang w:val="en-US"/>
        </w:rPr>
      </w:pPr>
      <w:r>
        <w:rPr>
          <w:noProof/>
        </w:rPr>
        <w:drawing>
          <wp:inline distT="0" distB="0" distL="0" distR="0">
            <wp:extent cx="5600700" cy="22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00700" cy="2200275"/>
                    </a:xfrm>
                    <a:prstGeom prst="rect">
                      <a:avLst/>
                    </a:prstGeom>
                    <a:noFill/>
                    <a:ln w="9525">
                      <a:noFill/>
                      <a:miter lim="800000"/>
                      <a:headEnd/>
                      <a:tailEnd/>
                    </a:ln>
                  </pic:spPr>
                </pic:pic>
              </a:graphicData>
            </a:graphic>
          </wp:inline>
        </w:drawing>
      </w:r>
    </w:p>
    <w:p w:rsidR="00AD024D" w:rsidRDefault="00AD024D" w:rsidP="00AD024D">
      <w:pPr>
        <w:rPr>
          <w:lang w:val="en-US"/>
        </w:rPr>
      </w:pPr>
    </w:p>
    <w:p w:rsidR="00561F77" w:rsidRPr="002860BD" w:rsidRDefault="005740EB" w:rsidP="00F24E7F">
      <w:pPr>
        <w:jc w:val="both"/>
        <w:rPr>
          <w:sz w:val="28"/>
          <w:szCs w:val="28"/>
          <w:lang w:val="ro-RO"/>
        </w:rPr>
      </w:pPr>
      <w:r>
        <w:rPr>
          <w:sz w:val="28"/>
          <w:szCs w:val="28"/>
          <w:lang w:val="en-US"/>
        </w:rPr>
        <w:t>Ceva m</w:t>
      </w:r>
      <w:r w:rsidRPr="002860BD">
        <w:rPr>
          <w:sz w:val="28"/>
          <w:szCs w:val="28"/>
          <w:lang w:val="en-US"/>
        </w:rPr>
        <w:t xml:space="preserve">ai </w:t>
      </w:r>
      <w:r w:rsidR="00561F77" w:rsidRPr="002860BD">
        <w:rPr>
          <w:sz w:val="28"/>
          <w:szCs w:val="28"/>
          <w:lang w:val="en-US"/>
        </w:rPr>
        <w:t>mult de jumătate (</w:t>
      </w:r>
      <w:r w:rsidR="00F24E7F" w:rsidRPr="002860BD">
        <w:rPr>
          <w:sz w:val="28"/>
          <w:szCs w:val="28"/>
          <w:lang w:val="en-US"/>
        </w:rPr>
        <w:t>55 %) dintre avocaţii respondenţi</w:t>
      </w:r>
      <w:r w:rsidR="00561F77" w:rsidRPr="002860BD">
        <w:rPr>
          <w:sz w:val="28"/>
          <w:szCs w:val="28"/>
          <w:lang w:val="en-US"/>
        </w:rPr>
        <w:t xml:space="preserve"> la chestionar au menţionat că au ben</w:t>
      </w:r>
      <w:r w:rsidR="00F24E7F" w:rsidRPr="002860BD">
        <w:rPr>
          <w:sz w:val="28"/>
          <w:szCs w:val="28"/>
          <w:lang w:val="en-US"/>
        </w:rPr>
        <w:t>eficiat de instruire initială imediat după</w:t>
      </w:r>
      <w:r w:rsidR="00561F77" w:rsidRPr="002860BD">
        <w:rPr>
          <w:sz w:val="28"/>
          <w:szCs w:val="28"/>
          <w:lang w:val="en-US"/>
        </w:rPr>
        <w:t xml:space="preserve"> admiterea în sistemul de acordare a asistenţei juridice garantate de stat. </w:t>
      </w:r>
      <w:r w:rsidR="00F24E7F" w:rsidRPr="002860BD">
        <w:rPr>
          <w:sz w:val="28"/>
          <w:szCs w:val="28"/>
          <w:lang w:val="en-US"/>
        </w:rPr>
        <w:t>În cadrul interviurilor individuale şi a focus grupurilor s-a invocat că nu este echitabil ca numai unii dintre avocaţi să beneficieze de astfel de instruire, or regulile de interacţiune cu sistemul de asistenţă juridică garantată de stat trebuie să fie cunoscute şi respectate de către toţi. Unii avocaţi au menţionat că instruirea nu s-a desfăşurat într-un număr suficient de ore şi nu s-a</w:t>
      </w:r>
      <w:r w:rsidR="00FB480D">
        <w:rPr>
          <w:sz w:val="28"/>
          <w:szCs w:val="28"/>
          <w:lang w:val="en-US"/>
        </w:rPr>
        <w:t xml:space="preserve"> produs la </w:t>
      </w:r>
      <w:r w:rsidR="00F24E7F" w:rsidRPr="002860BD">
        <w:rPr>
          <w:sz w:val="28"/>
          <w:szCs w:val="28"/>
          <w:lang w:val="en-US"/>
        </w:rPr>
        <w:t>i</w:t>
      </w:r>
      <w:r w:rsidR="00FB480D">
        <w:rPr>
          <w:sz w:val="28"/>
          <w:szCs w:val="28"/>
          <w:lang w:val="en-US"/>
        </w:rPr>
        <w:t>n</w:t>
      </w:r>
      <w:r w:rsidR="00F24E7F" w:rsidRPr="002860BD">
        <w:rPr>
          <w:sz w:val="28"/>
          <w:szCs w:val="28"/>
          <w:lang w:val="en-US"/>
        </w:rPr>
        <w:t>tervale utile de timp.</w:t>
      </w:r>
    </w:p>
    <w:p w:rsidR="00AD024D" w:rsidRPr="00FB480D" w:rsidRDefault="00AD024D" w:rsidP="00AD024D">
      <w:pPr>
        <w:rPr>
          <w:lang w:val="ro-RO"/>
        </w:rPr>
      </w:pPr>
    </w:p>
    <w:p w:rsidR="00AD024D" w:rsidRPr="009E6172" w:rsidRDefault="00AD024D" w:rsidP="009E6172">
      <w:pPr>
        <w:jc w:val="center"/>
        <w:rPr>
          <w:i/>
          <w:lang w:val="ro-RO"/>
        </w:rPr>
      </w:pPr>
      <w:r w:rsidRPr="009E6172">
        <w:rPr>
          <w:i/>
          <w:lang w:val="ro-RO"/>
        </w:rPr>
        <w:t xml:space="preserve">Ce opinie aveţi referitor la organizarea unor </w:t>
      </w:r>
      <w:r w:rsidRPr="009E6172">
        <w:rPr>
          <w:b/>
          <w:bCs/>
          <w:i/>
          <w:lang w:val="ro-RO"/>
        </w:rPr>
        <w:t>seminare de instruire iniţială</w:t>
      </w:r>
      <w:r w:rsidRPr="009E6172">
        <w:rPr>
          <w:i/>
          <w:lang w:val="ro-RO"/>
        </w:rPr>
        <w:t xml:space="preserve"> la admiterea avocatului în sistemul de asistenţă juridică garantată de stat?</w:t>
      </w:r>
    </w:p>
    <w:p w:rsidR="00AD024D" w:rsidRDefault="00C43127" w:rsidP="00AD024D">
      <w:pPr>
        <w:jc w:val="center"/>
        <w:rPr>
          <w:lang w:val="en-US"/>
        </w:rPr>
      </w:pPr>
      <w:r>
        <w:rPr>
          <w:noProof/>
        </w:rPr>
        <w:lastRenderedPageBreak/>
        <w:drawing>
          <wp:inline distT="0" distB="0" distL="0" distR="0">
            <wp:extent cx="5934075"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34075" cy="2324100"/>
                    </a:xfrm>
                    <a:prstGeom prst="rect">
                      <a:avLst/>
                    </a:prstGeom>
                    <a:noFill/>
                    <a:ln w="9525">
                      <a:noFill/>
                      <a:miter lim="800000"/>
                      <a:headEnd/>
                      <a:tailEnd/>
                    </a:ln>
                  </pic:spPr>
                </pic:pic>
              </a:graphicData>
            </a:graphic>
          </wp:inline>
        </w:drawing>
      </w:r>
    </w:p>
    <w:p w:rsidR="00AD024D" w:rsidRDefault="00AD024D" w:rsidP="00AD024D">
      <w:pPr>
        <w:rPr>
          <w:lang w:val="en-US"/>
        </w:rPr>
      </w:pPr>
    </w:p>
    <w:p w:rsidR="00C863B9" w:rsidRPr="00C863B9" w:rsidRDefault="002860BD" w:rsidP="00814746">
      <w:pPr>
        <w:jc w:val="both"/>
        <w:rPr>
          <w:lang w:val="ro-RO"/>
        </w:rPr>
      </w:pPr>
      <w:r>
        <w:rPr>
          <w:sz w:val="28"/>
          <w:szCs w:val="28"/>
          <w:lang w:val="ro-RO"/>
        </w:rPr>
        <w:t>Majoritatea (88 %) avocaţilor consideră necesară instruirea iniţială după admiterea în sistemul de acordare a asistenţei juridice garantate de stat. Avocaţii au menţionat că subiectele de instruire ar fi (</w:t>
      </w:r>
      <w:r w:rsidRPr="00814746">
        <w:rPr>
          <w:i/>
          <w:sz w:val="28"/>
          <w:szCs w:val="28"/>
          <w:lang w:val="ro-RO"/>
        </w:rPr>
        <w:t>formulările exacte date de către avocaţi</w:t>
      </w:r>
      <w:r>
        <w:rPr>
          <w:sz w:val="28"/>
          <w:szCs w:val="28"/>
          <w:lang w:val="ro-RO"/>
        </w:rPr>
        <w:t>):</w:t>
      </w:r>
      <w:r w:rsidRPr="00814746">
        <w:rPr>
          <w:sz w:val="28"/>
          <w:szCs w:val="28"/>
          <w:lang w:val="ro-RO"/>
        </w:rPr>
        <w:t xml:space="preserve"> „</w:t>
      </w:r>
      <w:r w:rsidR="00FB480D">
        <w:rPr>
          <w:sz w:val="28"/>
          <w:szCs w:val="28"/>
          <w:lang w:val="ro-RO"/>
        </w:rPr>
        <w:t xml:space="preserve">ce este asistenţa juridică garantată de stat; </w:t>
      </w:r>
      <w:r w:rsidR="00814746">
        <w:rPr>
          <w:sz w:val="28"/>
          <w:szCs w:val="28"/>
          <w:lang w:val="ro-RO"/>
        </w:rPr>
        <w:t>o</w:t>
      </w:r>
      <w:r w:rsidRPr="00814746">
        <w:rPr>
          <w:sz w:val="28"/>
          <w:szCs w:val="28"/>
          <w:lang w:val="ro-RO"/>
        </w:rPr>
        <w:t xml:space="preserve">biectivele CNAJGS; introducere generală privind asistenţa juridică calificată; </w:t>
      </w:r>
      <w:r w:rsidR="003D4C04">
        <w:rPr>
          <w:sz w:val="28"/>
          <w:szCs w:val="28"/>
          <w:lang w:val="ro-RO"/>
        </w:rPr>
        <w:t xml:space="preserve">ordinea şi calitatea acordării ajutorului juridic; </w:t>
      </w:r>
      <w:r w:rsidR="00C863B9" w:rsidRPr="00814746">
        <w:rPr>
          <w:sz w:val="28"/>
          <w:szCs w:val="28"/>
          <w:lang w:val="ro-RO"/>
        </w:rPr>
        <w:t xml:space="preserve">categoriile de persoane care în mod obligatoriu beneficiază de asistenţă juridică garantată de stat şi cele cărora li se poate refuza în asemenea servicii; </w:t>
      </w:r>
      <w:r w:rsidR="009A5953">
        <w:rPr>
          <w:sz w:val="28"/>
          <w:szCs w:val="28"/>
          <w:lang w:val="ro-RO"/>
        </w:rPr>
        <w:t xml:space="preserve">testul financiar; </w:t>
      </w:r>
      <w:r w:rsidR="00C863B9" w:rsidRPr="00814746">
        <w:rPr>
          <w:sz w:val="28"/>
          <w:szCs w:val="28"/>
          <w:lang w:val="ro-RO"/>
        </w:rPr>
        <w:t>aspectele administrative de funcţionare a sistemului de asistenţă garantată; studierea şi aplicarea regulamentelor; dezbaterea problemelor de implementare şi tratate diferit de către oficiile teritoriale; explicarea modificărilor recente în legislaţia referitor la asistenţa juridică garantată de stat; legislaţia ce reglementează asistenţa juridică garantată de stat; drepturile avocatului şi clientului la asistenţa juridică garantată de stat; drepturile şi obligaţiile avocatului în sistemul de asistenţă juridică garantată de stat</w:t>
      </w:r>
      <w:r w:rsidR="005740EB">
        <w:rPr>
          <w:sz w:val="28"/>
          <w:szCs w:val="28"/>
          <w:lang w:val="ro-RO"/>
        </w:rPr>
        <w:t>;</w:t>
      </w:r>
      <w:r w:rsidR="00C863B9" w:rsidRPr="00814746">
        <w:rPr>
          <w:sz w:val="28"/>
          <w:szCs w:val="28"/>
          <w:lang w:val="ro-RO"/>
        </w:rPr>
        <w:t xml:space="preserve"> cum de format o apărare; </w:t>
      </w:r>
      <w:r w:rsidR="00C863B9" w:rsidRPr="002349C2">
        <w:rPr>
          <w:sz w:val="28"/>
          <w:szCs w:val="28"/>
          <w:lang w:val="ro-RO"/>
        </w:rPr>
        <w:t xml:space="preserve">interacţiunea beneficiarului cu prestatorul de servicii; cum de comportat cu clienţii ce se </w:t>
      </w:r>
      <w:r w:rsidR="00C863B9" w:rsidRPr="009A5953">
        <w:rPr>
          <w:sz w:val="28"/>
          <w:szCs w:val="28"/>
          <w:lang w:val="ro-RO"/>
        </w:rPr>
        <w:t xml:space="preserve">află în detenţie; </w:t>
      </w:r>
      <w:r w:rsidR="009A5953" w:rsidRPr="009A5953">
        <w:rPr>
          <w:sz w:val="28"/>
          <w:szCs w:val="28"/>
          <w:lang w:val="ro-RO"/>
        </w:rPr>
        <w:t>interacţiunea cu beneficiarii asistenţei juridice garantate de stat ce fac parte din grupurile de risc (HIV SIDA, TBC, recidivişti),  invalizi, analfabeţi, care suferă de boli mintale, minori, aflate sub tutelă sau curatelă;</w:t>
      </w:r>
      <w:r w:rsidR="009A5953" w:rsidRPr="00C7357A">
        <w:rPr>
          <w:lang w:val="ro-RO"/>
        </w:rPr>
        <w:t xml:space="preserve"> </w:t>
      </w:r>
      <w:r w:rsidR="002349C2" w:rsidRPr="002349C2">
        <w:rPr>
          <w:sz w:val="28"/>
          <w:szCs w:val="28"/>
          <w:lang w:val="ro-RO"/>
        </w:rPr>
        <w:t xml:space="preserve">dreptul procedural penal; drept </w:t>
      </w:r>
      <w:r w:rsidR="002349C2" w:rsidRPr="009A5953">
        <w:rPr>
          <w:sz w:val="28"/>
          <w:szCs w:val="28"/>
          <w:lang w:val="ro-RO"/>
        </w:rPr>
        <w:t xml:space="preserve">penal; specificul asistenţei juridice în cazul acordării acesteia copiilor minori; </w:t>
      </w:r>
      <w:r w:rsidR="003D4C04">
        <w:rPr>
          <w:sz w:val="28"/>
          <w:szCs w:val="28"/>
          <w:lang w:val="ro-RO"/>
        </w:rPr>
        <w:t xml:space="preserve">lucrul cu minorii; cazurile violenţei domestice; </w:t>
      </w:r>
      <w:r w:rsidR="002349C2" w:rsidRPr="009A5953">
        <w:rPr>
          <w:sz w:val="28"/>
          <w:szCs w:val="28"/>
          <w:lang w:val="ro-RO"/>
        </w:rPr>
        <w:t xml:space="preserve">legislaţia </w:t>
      </w:r>
      <w:r w:rsidR="002349C2" w:rsidRPr="003B76E4">
        <w:rPr>
          <w:sz w:val="28"/>
          <w:szCs w:val="28"/>
          <w:lang w:val="ro-RO"/>
        </w:rPr>
        <w:t xml:space="preserve">CEDO; </w:t>
      </w:r>
      <w:r w:rsidR="009A5953" w:rsidRPr="003B76E4">
        <w:rPr>
          <w:sz w:val="28"/>
          <w:szCs w:val="28"/>
          <w:lang w:val="ro-RO"/>
        </w:rPr>
        <w:t>CEDO; procedura</w:t>
      </w:r>
      <w:r w:rsidR="009A5953" w:rsidRPr="009A5953">
        <w:rPr>
          <w:sz w:val="28"/>
          <w:szCs w:val="28"/>
          <w:lang w:val="ro-RO"/>
        </w:rPr>
        <w:t xml:space="preserve"> penala; drept penal – actualizarea legislativa;</w:t>
      </w:r>
      <w:r w:rsidR="009A5953" w:rsidRPr="002349C2">
        <w:rPr>
          <w:sz w:val="28"/>
          <w:szCs w:val="28"/>
          <w:lang w:val="ro-RO"/>
        </w:rPr>
        <w:t xml:space="preserve"> </w:t>
      </w:r>
      <w:r w:rsidR="002349C2" w:rsidRPr="002349C2">
        <w:rPr>
          <w:sz w:val="28"/>
          <w:szCs w:val="28"/>
          <w:lang w:val="ro-RO"/>
        </w:rPr>
        <w:t xml:space="preserve">despre activitatea avocatului nemijlocit în OUP şi instanţe; </w:t>
      </w:r>
      <w:r w:rsidR="003B76E4">
        <w:rPr>
          <w:sz w:val="28"/>
          <w:szCs w:val="28"/>
          <w:lang w:val="ro-RO"/>
        </w:rPr>
        <w:t xml:space="preserve">urmărirea penală; judecata; </w:t>
      </w:r>
      <w:r w:rsidR="009A5953" w:rsidRPr="009A5953">
        <w:rPr>
          <w:sz w:val="28"/>
          <w:szCs w:val="28"/>
          <w:lang w:val="ro-RO"/>
        </w:rPr>
        <w:t xml:space="preserve">analiza erorilor judiciare în cauze penale,  civile, contravenţionale şi utilizarea acestora în actele avocatului, cererea de apel, cererea de recurs; particularităţile examinării contestaţiilor împotriva executorului judecătoresc; contenciosul administrativ; </w:t>
      </w:r>
      <w:r w:rsidR="009A5953">
        <w:rPr>
          <w:sz w:val="28"/>
          <w:szCs w:val="28"/>
          <w:lang w:val="ro-RO"/>
        </w:rPr>
        <w:t xml:space="preserve">procedura civilă; </w:t>
      </w:r>
      <w:r w:rsidR="009A5953" w:rsidRPr="003D4C04">
        <w:rPr>
          <w:sz w:val="28"/>
          <w:szCs w:val="28"/>
          <w:lang w:val="ro-RO"/>
        </w:rPr>
        <w:t xml:space="preserve">subiecte din civil; </w:t>
      </w:r>
      <w:r w:rsidR="003B76E4">
        <w:rPr>
          <w:sz w:val="28"/>
          <w:szCs w:val="28"/>
          <w:lang w:val="ro-RO"/>
        </w:rPr>
        <w:t xml:space="preserve">succesiunea; partajul averii; dreptul de autor; </w:t>
      </w:r>
      <w:r w:rsidR="003D4C04">
        <w:rPr>
          <w:sz w:val="28"/>
          <w:szCs w:val="28"/>
          <w:lang w:val="ro-RO"/>
        </w:rPr>
        <w:t xml:space="preserve">probaţiunea juridică; etica avocatului; </w:t>
      </w:r>
      <w:r w:rsidR="00C863B9" w:rsidRPr="003D4C04">
        <w:rPr>
          <w:sz w:val="28"/>
          <w:szCs w:val="28"/>
          <w:lang w:val="ro-RO"/>
        </w:rPr>
        <w:t xml:space="preserve">aspecte psihologice ale activităţii; </w:t>
      </w:r>
      <w:r w:rsidR="003D4C04">
        <w:rPr>
          <w:sz w:val="28"/>
          <w:szCs w:val="28"/>
          <w:lang w:val="ro-RO"/>
        </w:rPr>
        <w:t xml:space="preserve">tactica apărării; garanţiile unui proces echitabil; egalitatea şi contradictoriile în procesul penal; </w:t>
      </w:r>
      <w:r w:rsidR="003D4C04" w:rsidRPr="003D4C04">
        <w:rPr>
          <w:sz w:val="28"/>
          <w:szCs w:val="28"/>
          <w:lang w:val="ro-RO"/>
        </w:rPr>
        <w:t>standarde de performanţă ale avocatului în procesul penal;</w:t>
      </w:r>
      <w:r w:rsidR="00C863B9" w:rsidRPr="003D4C04">
        <w:rPr>
          <w:sz w:val="28"/>
          <w:szCs w:val="28"/>
          <w:lang w:val="ro-RO"/>
        </w:rPr>
        <w:t xml:space="preserve"> </w:t>
      </w:r>
      <w:r w:rsidR="00814746" w:rsidRPr="003D4C04">
        <w:rPr>
          <w:sz w:val="28"/>
          <w:szCs w:val="28"/>
          <w:lang w:val="ro-RO"/>
        </w:rPr>
        <w:t>c</w:t>
      </w:r>
      <w:r w:rsidR="00814746" w:rsidRPr="009A5953">
        <w:rPr>
          <w:sz w:val="28"/>
          <w:szCs w:val="28"/>
          <w:lang w:val="ro-RO"/>
        </w:rPr>
        <w:t>um de completat un r</w:t>
      </w:r>
      <w:r w:rsidRPr="009A5953">
        <w:rPr>
          <w:sz w:val="28"/>
          <w:szCs w:val="28"/>
          <w:lang w:val="ro-RO"/>
        </w:rPr>
        <w:t>aport</w:t>
      </w:r>
      <w:r w:rsidR="00C863B9" w:rsidRPr="009A5953">
        <w:rPr>
          <w:sz w:val="28"/>
          <w:szCs w:val="28"/>
          <w:lang w:val="ro-RO"/>
        </w:rPr>
        <w:t>;</w:t>
      </w:r>
      <w:r w:rsidRPr="009A5953">
        <w:rPr>
          <w:sz w:val="28"/>
          <w:szCs w:val="28"/>
          <w:lang w:val="ro-RO"/>
        </w:rPr>
        <w:t xml:space="preserve"> </w:t>
      </w:r>
      <w:r w:rsidR="00C863B9" w:rsidRPr="009A5953">
        <w:rPr>
          <w:sz w:val="28"/>
          <w:szCs w:val="28"/>
          <w:lang w:val="ro-RO"/>
        </w:rPr>
        <w:t>modalităţile de formulare, depunere şi expediere</w:t>
      </w:r>
      <w:r w:rsidR="00C863B9" w:rsidRPr="00814746">
        <w:rPr>
          <w:sz w:val="28"/>
          <w:szCs w:val="28"/>
          <w:lang w:val="ro-RO"/>
        </w:rPr>
        <w:t xml:space="preserve"> a rapoartelor privind activitatea avocatului în sistemul de asistenţă juridică garantată de stat; modalitatea de evidenţă a asistenţei şi ce registre trebuie de dus; </w:t>
      </w:r>
      <w:r w:rsidR="00FB480D">
        <w:rPr>
          <w:sz w:val="28"/>
          <w:szCs w:val="28"/>
          <w:lang w:val="ro-RO"/>
        </w:rPr>
        <w:t xml:space="preserve">registrul de evidenţă a </w:t>
      </w:r>
      <w:r w:rsidR="00FB480D">
        <w:rPr>
          <w:sz w:val="28"/>
          <w:szCs w:val="28"/>
          <w:lang w:val="ro-RO"/>
        </w:rPr>
        <w:lastRenderedPageBreak/>
        <w:t xml:space="preserve">asistenţei juridice garantate de stat acordate; </w:t>
      </w:r>
      <w:r w:rsidR="00C863B9" w:rsidRPr="00814746">
        <w:rPr>
          <w:sz w:val="28"/>
          <w:szCs w:val="28"/>
          <w:lang w:val="ro-RO"/>
        </w:rPr>
        <w:t>procedura de raportare;</w:t>
      </w:r>
      <w:r w:rsidR="009A5953">
        <w:rPr>
          <w:sz w:val="28"/>
          <w:szCs w:val="28"/>
          <w:lang w:val="ro-RO"/>
        </w:rPr>
        <w:t xml:space="preserve"> calcularea orelor lucrate;</w:t>
      </w:r>
      <w:r w:rsidR="00C863B9" w:rsidRPr="00814746">
        <w:rPr>
          <w:sz w:val="28"/>
          <w:szCs w:val="28"/>
          <w:lang w:val="ro-RO"/>
        </w:rPr>
        <w:t xml:space="preserve"> </w:t>
      </w:r>
      <w:r w:rsidR="009A5953">
        <w:rPr>
          <w:sz w:val="28"/>
          <w:szCs w:val="28"/>
          <w:lang w:val="ro-RO"/>
        </w:rPr>
        <w:t xml:space="preserve">erorile la raportare; </w:t>
      </w:r>
      <w:r w:rsidR="00C863B9" w:rsidRPr="00814746">
        <w:rPr>
          <w:sz w:val="28"/>
          <w:szCs w:val="28"/>
          <w:lang w:val="ro-RO"/>
        </w:rPr>
        <w:t>aspectele administrative ale activităţii avocatului în cadrul sistemului (raportare, remunerare etc.);</w:t>
      </w:r>
      <w:r w:rsidR="009A5953">
        <w:rPr>
          <w:sz w:val="28"/>
          <w:szCs w:val="28"/>
          <w:lang w:val="ro-RO"/>
        </w:rPr>
        <w:t xml:space="preserve"> </w:t>
      </w:r>
      <w:r w:rsidR="009A5953" w:rsidRPr="009A5953">
        <w:rPr>
          <w:sz w:val="28"/>
          <w:szCs w:val="28"/>
          <w:lang w:val="ro-RO"/>
        </w:rPr>
        <w:t>regulile naţionale alternate cu aspectele practice-psihologice ce tine de rolul avocatului în procesul penal şi relaţionarea cu sistemul asistenţei juridice garantate de stat</w:t>
      </w:r>
      <w:r w:rsidR="005740EB">
        <w:rPr>
          <w:sz w:val="28"/>
          <w:szCs w:val="28"/>
          <w:lang w:val="ro-RO"/>
        </w:rPr>
        <w:t>”.</w:t>
      </w:r>
    </w:p>
    <w:p w:rsidR="002860BD" w:rsidRDefault="002860BD" w:rsidP="00AD024D">
      <w:pPr>
        <w:rPr>
          <w:lang w:val="ro-RO"/>
        </w:rPr>
      </w:pPr>
    </w:p>
    <w:p w:rsidR="00814746" w:rsidRPr="00814746" w:rsidRDefault="00DC0F79" w:rsidP="002949DB">
      <w:pPr>
        <w:jc w:val="both"/>
        <w:rPr>
          <w:sz w:val="28"/>
          <w:szCs w:val="28"/>
          <w:lang w:val="ro-RO"/>
        </w:rPr>
      </w:pPr>
      <w:r>
        <w:rPr>
          <w:sz w:val="28"/>
          <w:szCs w:val="28"/>
          <w:lang w:val="ro-RO"/>
        </w:rPr>
        <w:t>Totodată</w:t>
      </w:r>
      <w:r w:rsidR="00BB433E">
        <w:rPr>
          <w:sz w:val="28"/>
          <w:szCs w:val="28"/>
          <w:lang w:val="ro-RO"/>
        </w:rPr>
        <w:t>, se con</w:t>
      </w:r>
      <w:r>
        <w:rPr>
          <w:sz w:val="28"/>
          <w:szCs w:val="28"/>
          <w:lang w:val="ro-RO"/>
        </w:rPr>
        <w:t>s</w:t>
      </w:r>
      <w:r w:rsidR="00BB433E">
        <w:rPr>
          <w:sz w:val="28"/>
          <w:szCs w:val="28"/>
          <w:lang w:val="ro-RO"/>
        </w:rPr>
        <w:t xml:space="preserve">tată o </w:t>
      </w:r>
      <w:r w:rsidR="00814746" w:rsidRPr="00814746">
        <w:rPr>
          <w:sz w:val="28"/>
          <w:szCs w:val="28"/>
          <w:lang w:val="ro-RO"/>
        </w:rPr>
        <w:t>diversitate</w:t>
      </w:r>
      <w:r w:rsidR="00BB433E">
        <w:rPr>
          <w:sz w:val="28"/>
          <w:szCs w:val="28"/>
          <w:lang w:val="ro-RO"/>
        </w:rPr>
        <w:t xml:space="preserve"> </w:t>
      </w:r>
      <w:r w:rsidR="00814746" w:rsidRPr="00814746">
        <w:rPr>
          <w:sz w:val="28"/>
          <w:szCs w:val="28"/>
          <w:lang w:val="ro-RO"/>
        </w:rPr>
        <w:t>a opiniilor avocaţilor referitor la numărul de ore de instruire iniţială şi referitor la subiecte</w:t>
      </w:r>
      <w:r>
        <w:rPr>
          <w:sz w:val="28"/>
          <w:szCs w:val="28"/>
          <w:lang w:val="ro-RO"/>
        </w:rPr>
        <w:t>le ce urmează a fi incluse în cadrul acestei instruiri</w:t>
      </w:r>
      <w:r w:rsidR="00814746" w:rsidRPr="00814746">
        <w:rPr>
          <w:sz w:val="28"/>
          <w:szCs w:val="28"/>
          <w:lang w:val="ro-RO"/>
        </w:rPr>
        <w:t xml:space="preserve">. În general, spectrul de propuneri variază de la 3 ore de instruire iniţială la 150 de ore de instruire iniţială. Cei care au indicat un număr mai mare de ore de instruire iniţială au indicat şi o diversitate de subiecte la care consideră că este nevoie de instruire, menţionând că dacă se doreşte de a lucra cu beneficiari social – vulnerabili atunci avocaţii trebuie să fie instruiţi corespunzător. </w:t>
      </w:r>
      <w:r w:rsidR="002949DB">
        <w:rPr>
          <w:sz w:val="28"/>
          <w:szCs w:val="28"/>
          <w:lang w:val="ro-RO"/>
        </w:rPr>
        <w:t xml:space="preserve">În opinia noastră, nu toate subiectele indicate de către avocaţi urmează a fi incluse în orele de instruire iniţială, or unele subiecte a putea fi cunoscute şi înţelese de către avocaţi în cadrul lecturilor individuale (de exemplu: noţiunea şi categoriile de asistenţă juridică garantată de stat; managementul sistemului de asistenţă juridică garantată de stat; categoriile de beneficiari de asistenţă juridică garantată de stat etc). Anumite subiecte ar necesita o abordare distinctă (ex. modalitatea de preluare, evidenţă şi raportare a asistenţei juridice acordate) şi urmează a îmbina atât pregătirea individuală a avocaţilor (studierea regulamentelor) cât şi activităţi de instruire în grup (precizarea aspectelor pasibile de interpretare şi explicarea practicii de aplicare a regulamentelor). În spectrul de subiecte de instruire iniţială urmează a fi incluse cu precădere aspectele ce ţin de interacţiunea cu sistemul de asistenţă juridică garantată de stat şi cu beneficiarii de asistenţă juridică garantată de stat, fără a include aspectele profesionale generale care vizează activitatea avocatului în general. </w:t>
      </w:r>
    </w:p>
    <w:p w:rsidR="002860BD" w:rsidRDefault="002860BD" w:rsidP="00AD024D">
      <w:pPr>
        <w:rPr>
          <w:lang w:val="ro-RO"/>
        </w:rPr>
      </w:pPr>
    </w:p>
    <w:p w:rsidR="002860BD" w:rsidRPr="00263DC6" w:rsidRDefault="001A2436" w:rsidP="00F213A1">
      <w:pPr>
        <w:jc w:val="both"/>
        <w:rPr>
          <w:sz w:val="28"/>
          <w:szCs w:val="28"/>
          <w:lang w:val="ro-RO"/>
        </w:rPr>
      </w:pPr>
      <w:r w:rsidRPr="001A2436">
        <w:rPr>
          <w:sz w:val="28"/>
          <w:szCs w:val="28"/>
          <w:lang w:val="ro-RO"/>
        </w:rPr>
        <w:t>La determinarea pr</w:t>
      </w:r>
      <w:r>
        <w:rPr>
          <w:sz w:val="28"/>
          <w:szCs w:val="28"/>
          <w:lang w:val="ro-RO"/>
        </w:rPr>
        <w:t>ogramului de instruire iniţială, CNAJGS urmează a lua în calcul obiectivele instruirii iniţiale. Probabil, prin instruirea iniţială CNAJGS urmăreşte o mai bună interacţiune dintre avocaţi şi sistemul de asistenţă juridică garantată de stat (aşa încât procedurile de interacţiune să fie clare pentru avocaţi; fiecare dintre prestatorii de servicii să cunoască modalitatea de preluare, evidenţă şi raportare a asistenţei juridice acordate</w:t>
      </w:r>
      <w:r w:rsidR="00BE018E">
        <w:rPr>
          <w:sz w:val="28"/>
          <w:szCs w:val="28"/>
          <w:lang w:val="ro-RO"/>
        </w:rPr>
        <w:t xml:space="preserve">; nivelul de remunerare să fie predictibil pentru avocaţi). Alte aspecte ţin de consolidarea capacităţii profesionale ale avocatului, respectiv pot fi incluse la instruirea continuă în măsura în care vizează direct calitatea asistenţei </w:t>
      </w:r>
      <w:r w:rsidR="00BE018E" w:rsidRPr="00263DC6">
        <w:rPr>
          <w:sz w:val="28"/>
          <w:szCs w:val="28"/>
          <w:lang w:val="ro-RO"/>
        </w:rPr>
        <w:t xml:space="preserve">juridice acordate. </w:t>
      </w:r>
    </w:p>
    <w:p w:rsidR="00F213A1" w:rsidRPr="00263DC6" w:rsidRDefault="00F213A1" w:rsidP="00F213A1">
      <w:pPr>
        <w:jc w:val="both"/>
        <w:rPr>
          <w:sz w:val="28"/>
          <w:szCs w:val="28"/>
          <w:lang w:val="ro-RO"/>
        </w:rPr>
      </w:pPr>
    </w:p>
    <w:p w:rsidR="00F213A1" w:rsidRPr="00263DC6" w:rsidRDefault="00F213A1" w:rsidP="00F213A1">
      <w:pPr>
        <w:jc w:val="both"/>
        <w:rPr>
          <w:sz w:val="28"/>
          <w:szCs w:val="28"/>
          <w:lang w:val="ro-RO"/>
        </w:rPr>
      </w:pPr>
      <w:r w:rsidRPr="00263DC6">
        <w:rPr>
          <w:sz w:val="28"/>
          <w:szCs w:val="28"/>
          <w:lang w:val="ro-RO"/>
        </w:rPr>
        <w:t>De aici, urmează să treacă instruirea iniţială toţi avoca</w:t>
      </w:r>
      <w:r w:rsidR="00D1595A">
        <w:rPr>
          <w:sz w:val="28"/>
          <w:szCs w:val="28"/>
          <w:lang w:val="ro-RO"/>
        </w:rPr>
        <w:t>ţ</w:t>
      </w:r>
      <w:r w:rsidRPr="00263DC6">
        <w:rPr>
          <w:sz w:val="28"/>
          <w:szCs w:val="28"/>
          <w:lang w:val="ro-RO"/>
        </w:rPr>
        <w:t>ii admi</w:t>
      </w:r>
      <w:r w:rsidR="00D1595A">
        <w:rPr>
          <w:sz w:val="28"/>
          <w:szCs w:val="28"/>
          <w:lang w:val="ro-RO"/>
        </w:rPr>
        <w:t>ş</w:t>
      </w:r>
      <w:r w:rsidRPr="00263DC6">
        <w:rPr>
          <w:sz w:val="28"/>
          <w:szCs w:val="28"/>
          <w:lang w:val="ro-RO"/>
        </w:rPr>
        <w:t>i în sistemul de asisten</w:t>
      </w:r>
      <w:r w:rsidR="00D1595A">
        <w:rPr>
          <w:sz w:val="28"/>
          <w:szCs w:val="28"/>
          <w:lang w:val="ro-RO"/>
        </w:rPr>
        <w:t>ţ</w:t>
      </w:r>
      <w:r w:rsidRPr="00263DC6">
        <w:rPr>
          <w:sz w:val="28"/>
          <w:szCs w:val="28"/>
          <w:lang w:val="ro-RO"/>
        </w:rPr>
        <w:t>ă juridică garantată de stat în termen de 3 luni de la semnarea contractului cu OT dar nu mai mult de 6 luni de la admiterea în sistemul asisten</w:t>
      </w:r>
      <w:r w:rsidR="00D1595A">
        <w:rPr>
          <w:sz w:val="28"/>
          <w:szCs w:val="28"/>
          <w:lang w:val="ro-RO"/>
        </w:rPr>
        <w:t>ţ</w:t>
      </w:r>
      <w:r w:rsidRPr="00263DC6">
        <w:rPr>
          <w:sz w:val="28"/>
          <w:szCs w:val="28"/>
          <w:lang w:val="ro-RO"/>
        </w:rPr>
        <w:t>ei juridice garantate de stat.</w:t>
      </w:r>
    </w:p>
    <w:p w:rsidR="002860BD" w:rsidRDefault="002860BD" w:rsidP="00AD024D">
      <w:pPr>
        <w:rPr>
          <w:lang w:val="ro-RO"/>
        </w:rPr>
      </w:pPr>
    </w:p>
    <w:p w:rsidR="002860BD" w:rsidRPr="00915457" w:rsidRDefault="00915457" w:rsidP="007A1464">
      <w:pPr>
        <w:jc w:val="both"/>
        <w:rPr>
          <w:sz w:val="28"/>
          <w:szCs w:val="28"/>
          <w:lang w:val="ro-RO"/>
        </w:rPr>
      </w:pPr>
      <w:r w:rsidRPr="00915457">
        <w:rPr>
          <w:sz w:val="28"/>
          <w:szCs w:val="28"/>
          <w:lang w:val="ro-RO"/>
        </w:rPr>
        <w:lastRenderedPageBreak/>
        <w:t xml:space="preserve">Unii </w:t>
      </w:r>
      <w:r w:rsidR="007A1464">
        <w:rPr>
          <w:sz w:val="28"/>
          <w:szCs w:val="28"/>
          <w:lang w:val="ro-RO"/>
        </w:rPr>
        <w:t xml:space="preserve">dintre avocaţi au menţionat că, avocaţii </w:t>
      </w:r>
      <w:r w:rsidR="005740EB">
        <w:rPr>
          <w:sz w:val="28"/>
          <w:szCs w:val="28"/>
          <w:lang w:val="ro-RO"/>
        </w:rPr>
        <w:t xml:space="preserve">care </w:t>
      </w:r>
      <w:r w:rsidR="007A1464">
        <w:rPr>
          <w:sz w:val="28"/>
          <w:szCs w:val="28"/>
          <w:lang w:val="ro-RO"/>
        </w:rPr>
        <w:t>nu au urmat instruire a iniţială, nu trebuie admişi în cadrul sistemului de asistenţă juridică garantată de stat. În opinia noastră, instruirea iniţială trebuie văzută mai mult ca o oportunitate pentru avocaţi şi OT pentru o interacţiune mai bună decât o obligaţie a avocatului.</w:t>
      </w:r>
    </w:p>
    <w:p w:rsidR="002860BD" w:rsidRDefault="002860BD" w:rsidP="00AD024D">
      <w:pPr>
        <w:rPr>
          <w:lang w:val="ro-RO"/>
        </w:rPr>
      </w:pPr>
    </w:p>
    <w:p w:rsidR="00060BB0" w:rsidRPr="005740EB" w:rsidRDefault="005740EB" w:rsidP="005740EB">
      <w:pPr>
        <w:jc w:val="both"/>
        <w:rPr>
          <w:sz w:val="28"/>
          <w:szCs w:val="28"/>
          <w:lang w:val="ro-RO"/>
        </w:rPr>
      </w:pPr>
      <w:r w:rsidRPr="005740EB">
        <w:rPr>
          <w:sz w:val="28"/>
          <w:szCs w:val="28"/>
          <w:lang w:val="ro-RO"/>
        </w:rPr>
        <w:t xml:space="preserve">Adiţional, </w:t>
      </w:r>
      <w:r>
        <w:rPr>
          <w:sz w:val="28"/>
          <w:szCs w:val="28"/>
          <w:lang w:val="ro-RO"/>
        </w:rPr>
        <w:t>CNAJGS ar trebui să ia în calcul posibilitatea elaborării unui program de instruire la distanţă sau a unui modul electronic de instruire, aşa încât urmarea acestui modul să constituie un avantaj la admiterea avocatului în sistemul de acordare a asistenţei juridice garantate de stat.</w:t>
      </w:r>
    </w:p>
    <w:p w:rsidR="00060BB0" w:rsidRDefault="00060BB0" w:rsidP="00AD024D">
      <w:pPr>
        <w:rPr>
          <w:lang w:val="ro-RO"/>
        </w:rPr>
      </w:pPr>
    </w:p>
    <w:p w:rsidR="00060BB0" w:rsidRDefault="00060BB0" w:rsidP="00AD024D">
      <w:pPr>
        <w:rPr>
          <w:lang w:val="ro-RO"/>
        </w:rPr>
      </w:pPr>
    </w:p>
    <w:p w:rsidR="00060BB0" w:rsidRDefault="00060BB0" w:rsidP="00AD024D">
      <w:pPr>
        <w:rPr>
          <w:lang w:val="ro-RO"/>
        </w:rPr>
      </w:pPr>
    </w:p>
    <w:p w:rsidR="00060BB0" w:rsidRDefault="00060BB0" w:rsidP="00AD024D">
      <w:pPr>
        <w:rPr>
          <w:lang w:val="ro-RO"/>
        </w:rPr>
      </w:pPr>
    </w:p>
    <w:p w:rsidR="00060BB0" w:rsidRDefault="00060BB0" w:rsidP="00AD024D">
      <w:pPr>
        <w:rPr>
          <w:lang w:val="ro-RO"/>
        </w:rPr>
      </w:pPr>
    </w:p>
    <w:p w:rsidR="00060BB0" w:rsidRDefault="00060BB0" w:rsidP="00AD024D">
      <w:pPr>
        <w:rPr>
          <w:lang w:val="ro-RO"/>
        </w:rPr>
      </w:pPr>
    </w:p>
    <w:p w:rsidR="00060BB0" w:rsidRDefault="00060BB0" w:rsidP="00AD024D">
      <w:pPr>
        <w:rPr>
          <w:lang w:val="ro-RO"/>
        </w:rPr>
      </w:pPr>
    </w:p>
    <w:p w:rsidR="002860BD" w:rsidRPr="000B502E" w:rsidRDefault="00017E65" w:rsidP="002860BD">
      <w:pPr>
        <w:rPr>
          <w:b/>
          <w:sz w:val="28"/>
          <w:szCs w:val="28"/>
          <w:lang w:val="ro-RO"/>
        </w:rPr>
      </w:pPr>
      <w:r w:rsidRPr="000B502E">
        <w:rPr>
          <w:b/>
          <w:sz w:val="28"/>
          <w:szCs w:val="28"/>
          <w:lang w:val="ro-RO"/>
        </w:rPr>
        <w:t xml:space="preserve">3.2 </w:t>
      </w:r>
      <w:r w:rsidR="002860BD" w:rsidRPr="000B502E">
        <w:rPr>
          <w:b/>
          <w:sz w:val="28"/>
          <w:szCs w:val="28"/>
          <w:lang w:val="ro-RO"/>
        </w:rPr>
        <w:t>INSTRUIREA CONTINUĂ</w:t>
      </w:r>
    </w:p>
    <w:p w:rsidR="002860BD" w:rsidRDefault="002860BD" w:rsidP="002860BD">
      <w:pPr>
        <w:jc w:val="center"/>
        <w:rPr>
          <w:i/>
          <w:lang w:val="ro-RO"/>
        </w:rPr>
      </w:pPr>
    </w:p>
    <w:p w:rsidR="002860BD" w:rsidRPr="009E6172" w:rsidRDefault="002860BD" w:rsidP="002860BD">
      <w:pPr>
        <w:jc w:val="center"/>
        <w:rPr>
          <w:b/>
          <w:bCs/>
          <w:i/>
          <w:lang w:val="ro-RO"/>
        </w:rPr>
      </w:pPr>
      <w:r w:rsidRPr="009E6172">
        <w:rPr>
          <w:i/>
          <w:lang w:val="ro-RO"/>
        </w:rPr>
        <w:t xml:space="preserve">Câte </w:t>
      </w:r>
      <w:r w:rsidRPr="009E6172">
        <w:rPr>
          <w:b/>
          <w:bCs/>
          <w:i/>
          <w:lang w:val="ro-RO"/>
        </w:rPr>
        <w:t>ore de instruire continuă</w:t>
      </w:r>
      <w:r w:rsidRPr="009E6172">
        <w:rPr>
          <w:i/>
          <w:lang w:val="ro-RO"/>
        </w:rPr>
        <w:t xml:space="preserve"> aţi urmat în genera</w:t>
      </w:r>
      <w:r>
        <w:rPr>
          <w:i/>
          <w:lang w:val="ro-RO"/>
        </w:rPr>
        <w:t>l</w:t>
      </w:r>
      <w:r w:rsidRPr="009E6172">
        <w:rPr>
          <w:i/>
          <w:lang w:val="ro-RO"/>
        </w:rPr>
        <w:t xml:space="preserve"> în anul </w:t>
      </w:r>
      <w:r w:rsidRPr="009E6172">
        <w:rPr>
          <w:b/>
          <w:bCs/>
          <w:i/>
          <w:lang w:val="ro-RO"/>
        </w:rPr>
        <w:t>2012?</w:t>
      </w:r>
    </w:p>
    <w:p w:rsidR="002860BD" w:rsidRDefault="00C43127" w:rsidP="002860BD">
      <w:pPr>
        <w:rPr>
          <w:lang w:val="ro-RO"/>
        </w:rPr>
      </w:pPr>
      <w:r>
        <w:rPr>
          <w:noProof/>
        </w:rPr>
        <w:drawing>
          <wp:inline distT="0" distB="0" distL="0" distR="0">
            <wp:extent cx="6296025" cy="2466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296025" cy="2466975"/>
                    </a:xfrm>
                    <a:prstGeom prst="rect">
                      <a:avLst/>
                    </a:prstGeom>
                    <a:noFill/>
                    <a:ln w="9525">
                      <a:noFill/>
                      <a:miter lim="800000"/>
                      <a:headEnd/>
                      <a:tailEnd/>
                    </a:ln>
                  </pic:spPr>
                </pic:pic>
              </a:graphicData>
            </a:graphic>
          </wp:inline>
        </w:drawing>
      </w:r>
    </w:p>
    <w:p w:rsidR="002860BD" w:rsidRPr="00391FC8" w:rsidRDefault="00391FC8" w:rsidP="00391FC8">
      <w:pPr>
        <w:jc w:val="both"/>
        <w:rPr>
          <w:sz w:val="28"/>
          <w:szCs w:val="28"/>
          <w:lang w:val="ro-RO"/>
        </w:rPr>
      </w:pPr>
      <w:r w:rsidRPr="00391FC8">
        <w:rPr>
          <w:sz w:val="28"/>
          <w:szCs w:val="28"/>
          <w:lang w:val="ro-RO"/>
        </w:rPr>
        <w:t xml:space="preserve">30 % dintre avocaţii </w:t>
      </w:r>
      <w:r w:rsidR="003E2DA7">
        <w:rPr>
          <w:sz w:val="28"/>
          <w:szCs w:val="28"/>
          <w:lang w:val="ro-RO"/>
        </w:rPr>
        <w:t>din sistemul de asistenţă juridică garantată de stat</w:t>
      </w:r>
      <w:r w:rsidR="003E2DA7" w:rsidRPr="00391FC8">
        <w:rPr>
          <w:sz w:val="28"/>
          <w:szCs w:val="28"/>
          <w:lang w:val="ro-RO"/>
        </w:rPr>
        <w:t xml:space="preserve"> </w:t>
      </w:r>
      <w:r w:rsidRPr="00391FC8">
        <w:rPr>
          <w:sz w:val="28"/>
          <w:szCs w:val="28"/>
          <w:lang w:val="ro-RO"/>
        </w:rPr>
        <w:t>au urmat de la 20 la 40 de ore de instruire continuă în anul 2012, 23 % - de la 10 la 20 de ore, 16 % - până la 10 ore</w:t>
      </w:r>
      <w:r w:rsidR="003E2DA7">
        <w:rPr>
          <w:sz w:val="28"/>
          <w:szCs w:val="28"/>
          <w:lang w:val="ro-RO"/>
        </w:rPr>
        <w:t xml:space="preserve"> şi</w:t>
      </w:r>
      <w:r w:rsidRPr="00391FC8">
        <w:rPr>
          <w:sz w:val="28"/>
          <w:szCs w:val="28"/>
          <w:lang w:val="ro-RO"/>
        </w:rPr>
        <w:t xml:space="preserve"> doar 15 % au </w:t>
      </w:r>
      <w:r>
        <w:rPr>
          <w:sz w:val="28"/>
          <w:szCs w:val="28"/>
          <w:lang w:val="ro-RO"/>
        </w:rPr>
        <w:t>întrunit</w:t>
      </w:r>
      <w:r w:rsidR="00E50AC9">
        <w:rPr>
          <w:sz w:val="28"/>
          <w:szCs w:val="28"/>
          <w:lang w:val="ro-RO"/>
        </w:rPr>
        <w:t xml:space="preserve"> numărul </w:t>
      </w:r>
      <w:r w:rsidR="00BB4747">
        <w:rPr>
          <w:sz w:val="28"/>
          <w:szCs w:val="28"/>
          <w:lang w:val="ro-RO"/>
        </w:rPr>
        <w:t xml:space="preserve">obligatoriu de </w:t>
      </w:r>
      <w:r w:rsidR="00E50AC9">
        <w:rPr>
          <w:sz w:val="28"/>
          <w:szCs w:val="28"/>
          <w:lang w:val="ro-RO"/>
        </w:rPr>
        <w:t xml:space="preserve">ore </w:t>
      </w:r>
      <w:r w:rsidRPr="00391FC8">
        <w:rPr>
          <w:sz w:val="28"/>
          <w:szCs w:val="28"/>
          <w:lang w:val="ro-RO"/>
        </w:rPr>
        <w:t>de instruire continuă anuală. Este îngrijorător faptul că 16 % dintre avocaţii respondenţi la chestionar nu au urmat nici o oră de instruire continuă pe parcursul anului 2012. În cadrul interviurilor s-a reiterat că trebuie de luat în calcul că avocaţii care nu sunt în sistemul de asistenţă juridică garantată de stat au urmat un număr şi mai redus de ore de instruire continuă, ceea ce pare a contura o situaţie alarmantă.</w:t>
      </w:r>
    </w:p>
    <w:p w:rsidR="002860BD" w:rsidRDefault="002860BD" w:rsidP="002860BD">
      <w:pPr>
        <w:rPr>
          <w:lang w:val="ro-RO"/>
        </w:rPr>
      </w:pPr>
    </w:p>
    <w:p w:rsidR="002860BD" w:rsidRPr="009E6172" w:rsidRDefault="002860BD" w:rsidP="002860BD">
      <w:pPr>
        <w:jc w:val="center"/>
        <w:rPr>
          <w:i/>
          <w:lang w:val="ro-RO"/>
        </w:rPr>
      </w:pPr>
      <w:r w:rsidRPr="009E6172">
        <w:rPr>
          <w:i/>
          <w:lang w:val="ro-RO"/>
        </w:rPr>
        <w:t xml:space="preserve">Câte </w:t>
      </w:r>
      <w:r w:rsidRPr="009E6172">
        <w:rPr>
          <w:b/>
          <w:bCs/>
          <w:i/>
          <w:lang w:val="ro-RO"/>
        </w:rPr>
        <w:t>ore de instruire continuă</w:t>
      </w:r>
      <w:r w:rsidRPr="009E6172">
        <w:rPr>
          <w:i/>
          <w:lang w:val="ro-RO"/>
        </w:rPr>
        <w:t xml:space="preserve"> aţi urmat în general în anul </w:t>
      </w:r>
      <w:r w:rsidRPr="009E6172">
        <w:rPr>
          <w:b/>
          <w:bCs/>
          <w:i/>
          <w:lang w:val="ro-RO"/>
        </w:rPr>
        <w:t>2013?</w:t>
      </w:r>
    </w:p>
    <w:p w:rsidR="002860BD" w:rsidRDefault="00C43127" w:rsidP="002860BD">
      <w:pPr>
        <w:rPr>
          <w:lang w:val="ro-RO"/>
        </w:rPr>
      </w:pPr>
      <w:r>
        <w:rPr>
          <w:noProof/>
        </w:rPr>
        <w:lastRenderedPageBreak/>
        <w:drawing>
          <wp:inline distT="0" distB="0" distL="0" distR="0">
            <wp:extent cx="6296025" cy="2466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296025" cy="2466975"/>
                    </a:xfrm>
                    <a:prstGeom prst="rect">
                      <a:avLst/>
                    </a:prstGeom>
                    <a:noFill/>
                    <a:ln w="9525">
                      <a:noFill/>
                      <a:miter lim="800000"/>
                      <a:headEnd/>
                      <a:tailEnd/>
                    </a:ln>
                  </pic:spPr>
                </pic:pic>
              </a:graphicData>
            </a:graphic>
          </wp:inline>
        </w:drawing>
      </w:r>
    </w:p>
    <w:p w:rsidR="002860BD" w:rsidRDefault="002860BD" w:rsidP="002860BD">
      <w:pPr>
        <w:rPr>
          <w:lang w:val="ro-RO"/>
        </w:rPr>
      </w:pPr>
    </w:p>
    <w:p w:rsidR="00391FC8" w:rsidRPr="00391FC8" w:rsidRDefault="000B502E" w:rsidP="00391FC8">
      <w:pPr>
        <w:jc w:val="both"/>
        <w:rPr>
          <w:sz w:val="28"/>
          <w:szCs w:val="28"/>
          <w:lang w:val="ro-RO"/>
        </w:rPr>
      </w:pPr>
      <w:r>
        <w:rPr>
          <w:sz w:val="28"/>
          <w:szCs w:val="28"/>
          <w:lang w:val="ro-RO"/>
        </w:rPr>
        <w:t>I</w:t>
      </w:r>
      <w:r w:rsidR="00391FC8" w:rsidRPr="00391FC8">
        <w:rPr>
          <w:sz w:val="28"/>
          <w:szCs w:val="28"/>
          <w:lang w:val="ro-RO"/>
        </w:rPr>
        <w:t xml:space="preserve">ntensitatea activităţilor de instruire pentru avocaţii din sistemul de asistenţă juridică garantată de stat a crescut în anul 2013. Astfel, luând în calcul că datele reflectă doar situaţia din primele nouă luni ale anului 2013, se constată că 54 % dintre avocaţii din sistemul de asistenţă juridică garantată de stat au urmat de la 20 la 40 de ore de instruire continuă în </w:t>
      </w:r>
      <w:r w:rsidR="00605F7D">
        <w:rPr>
          <w:sz w:val="28"/>
          <w:szCs w:val="28"/>
          <w:lang w:val="ro-RO"/>
        </w:rPr>
        <w:t xml:space="preserve">primele </w:t>
      </w:r>
      <w:r w:rsidR="00391FC8" w:rsidRPr="00391FC8">
        <w:rPr>
          <w:sz w:val="28"/>
          <w:szCs w:val="28"/>
          <w:lang w:val="ro-RO"/>
        </w:rPr>
        <w:t>nouă luni ale anul</w:t>
      </w:r>
      <w:r w:rsidR="00453209">
        <w:rPr>
          <w:sz w:val="28"/>
          <w:szCs w:val="28"/>
          <w:lang w:val="ro-RO"/>
        </w:rPr>
        <w:t>ui</w:t>
      </w:r>
      <w:r w:rsidR="00391FC8" w:rsidRPr="00391FC8">
        <w:rPr>
          <w:sz w:val="28"/>
          <w:szCs w:val="28"/>
          <w:lang w:val="ro-RO"/>
        </w:rPr>
        <w:t xml:space="preserve"> 2013, </w:t>
      </w:r>
      <w:r w:rsidR="00391FC8">
        <w:rPr>
          <w:sz w:val="28"/>
          <w:szCs w:val="28"/>
          <w:lang w:val="ro-RO"/>
        </w:rPr>
        <w:t>18</w:t>
      </w:r>
      <w:r w:rsidR="00391FC8" w:rsidRPr="00391FC8">
        <w:rPr>
          <w:sz w:val="28"/>
          <w:szCs w:val="28"/>
          <w:lang w:val="ro-RO"/>
        </w:rPr>
        <w:t xml:space="preserve"> % - de la 10 la 20 de ore, 1</w:t>
      </w:r>
      <w:r w:rsidR="00391FC8">
        <w:rPr>
          <w:sz w:val="28"/>
          <w:szCs w:val="28"/>
          <w:lang w:val="ro-RO"/>
        </w:rPr>
        <w:t>1</w:t>
      </w:r>
      <w:r w:rsidR="00391FC8" w:rsidRPr="00391FC8">
        <w:rPr>
          <w:sz w:val="28"/>
          <w:szCs w:val="28"/>
          <w:lang w:val="ro-RO"/>
        </w:rPr>
        <w:t xml:space="preserve"> % - până la 10 ore, </w:t>
      </w:r>
      <w:r w:rsidR="00391FC8">
        <w:rPr>
          <w:sz w:val="28"/>
          <w:szCs w:val="28"/>
          <w:lang w:val="ro-RO"/>
        </w:rPr>
        <w:t>iar</w:t>
      </w:r>
      <w:r w:rsidR="00391FC8" w:rsidRPr="00391FC8">
        <w:rPr>
          <w:sz w:val="28"/>
          <w:szCs w:val="28"/>
          <w:lang w:val="ro-RO"/>
        </w:rPr>
        <w:t xml:space="preserve"> 1</w:t>
      </w:r>
      <w:r w:rsidR="00391FC8">
        <w:rPr>
          <w:sz w:val="28"/>
          <w:szCs w:val="28"/>
          <w:lang w:val="ro-RO"/>
        </w:rPr>
        <w:t>3</w:t>
      </w:r>
      <w:r w:rsidR="00391FC8" w:rsidRPr="00391FC8">
        <w:rPr>
          <w:sz w:val="28"/>
          <w:szCs w:val="28"/>
          <w:lang w:val="ro-RO"/>
        </w:rPr>
        <w:t xml:space="preserve"> % au întrunit </w:t>
      </w:r>
      <w:r w:rsidR="00391FC8">
        <w:rPr>
          <w:sz w:val="28"/>
          <w:szCs w:val="28"/>
          <w:lang w:val="ro-RO"/>
        </w:rPr>
        <w:t xml:space="preserve">deja </w:t>
      </w:r>
      <w:r w:rsidR="00391FC8" w:rsidRPr="00391FC8">
        <w:rPr>
          <w:sz w:val="28"/>
          <w:szCs w:val="28"/>
          <w:lang w:val="ro-RO"/>
        </w:rPr>
        <w:t xml:space="preserve">numărul obligatoriu </w:t>
      </w:r>
      <w:r w:rsidR="00605F7D" w:rsidRPr="00391FC8">
        <w:rPr>
          <w:sz w:val="28"/>
          <w:szCs w:val="28"/>
          <w:lang w:val="ro-RO"/>
        </w:rPr>
        <w:t xml:space="preserve">de ore </w:t>
      </w:r>
      <w:r w:rsidR="00391FC8" w:rsidRPr="00391FC8">
        <w:rPr>
          <w:sz w:val="28"/>
          <w:szCs w:val="28"/>
          <w:lang w:val="ro-RO"/>
        </w:rPr>
        <w:t>de instruire continuă anuală</w:t>
      </w:r>
      <w:r w:rsidR="00391FC8">
        <w:rPr>
          <w:sz w:val="28"/>
          <w:szCs w:val="28"/>
          <w:lang w:val="ro-RO"/>
        </w:rPr>
        <w:t xml:space="preserve"> şi doar 4 % nu au urmat încă nici o oră de instruire continuă.</w:t>
      </w:r>
      <w:r>
        <w:rPr>
          <w:sz w:val="28"/>
          <w:szCs w:val="28"/>
          <w:lang w:val="ro-RO"/>
        </w:rPr>
        <w:t xml:space="preserve"> S-a menţionat că este vizibilă sporirea posibilităţilor de a participa la orele </w:t>
      </w:r>
      <w:r w:rsidRPr="00DA5228">
        <w:rPr>
          <w:sz w:val="28"/>
          <w:szCs w:val="28"/>
          <w:lang w:val="ro-RO"/>
        </w:rPr>
        <w:t>de instruire</w:t>
      </w:r>
      <w:r>
        <w:rPr>
          <w:sz w:val="28"/>
          <w:szCs w:val="28"/>
          <w:lang w:val="ro-RO"/>
        </w:rPr>
        <w:t xml:space="preserve"> continuă şi chiar de a alege subiectele la care să participe.</w:t>
      </w:r>
    </w:p>
    <w:p w:rsidR="00391FC8" w:rsidRDefault="00391FC8" w:rsidP="002860BD">
      <w:pPr>
        <w:rPr>
          <w:lang w:val="ro-RO"/>
        </w:rPr>
      </w:pPr>
    </w:p>
    <w:p w:rsidR="002860BD" w:rsidRPr="009E6172" w:rsidRDefault="002860BD" w:rsidP="002860BD">
      <w:pPr>
        <w:ind w:left="360" w:hanging="360"/>
        <w:jc w:val="center"/>
        <w:rPr>
          <w:i/>
          <w:lang w:val="ro-RO"/>
        </w:rPr>
      </w:pPr>
      <w:r w:rsidRPr="009E6172">
        <w:rPr>
          <w:i/>
          <w:lang w:val="ro-RO"/>
        </w:rPr>
        <w:t xml:space="preserve">În anul </w:t>
      </w:r>
      <w:r w:rsidRPr="009E6172">
        <w:rPr>
          <w:b/>
          <w:bCs/>
          <w:i/>
          <w:lang w:val="ro-RO"/>
        </w:rPr>
        <w:t>2012</w:t>
      </w:r>
      <w:r w:rsidRPr="009E6172">
        <w:rPr>
          <w:i/>
          <w:lang w:val="ro-RO"/>
        </w:rPr>
        <w:t xml:space="preserve">, </w:t>
      </w:r>
      <w:r w:rsidRPr="009E6172">
        <w:rPr>
          <w:b/>
          <w:bCs/>
          <w:i/>
          <w:lang w:val="ro-RO"/>
        </w:rPr>
        <w:t xml:space="preserve">cursurile de instruire continuă la care aţi participat, au fost organizate cu precădere </w:t>
      </w:r>
      <w:r w:rsidRPr="009E6172">
        <w:rPr>
          <w:i/>
          <w:lang w:val="ro-RO"/>
        </w:rPr>
        <w:t>(în funcţie de numărul de ore de instruire continuă)</w:t>
      </w:r>
      <w:r w:rsidRPr="009E6172">
        <w:rPr>
          <w:b/>
          <w:bCs/>
          <w:i/>
          <w:lang w:val="ro-RO"/>
        </w:rPr>
        <w:t xml:space="preserve"> de către</w:t>
      </w:r>
      <w:r w:rsidRPr="009E6172">
        <w:rPr>
          <w:i/>
          <w:lang w:val="ro-RO"/>
        </w:rPr>
        <w:t>:</w:t>
      </w:r>
    </w:p>
    <w:p w:rsidR="002860BD" w:rsidRDefault="00C43127" w:rsidP="00060BB0">
      <w:pPr>
        <w:ind w:left="360"/>
        <w:jc w:val="center"/>
        <w:rPr>
          <w:lang w:val="en-US"/>
        </w:rPr>
      </w:pPr>
      <w:r>
        <w:rPr>
          <w:noProof/>
        </w:rPr>
        <w:drawing>
          <wp:inline distT="0" distB="0" distL="0" distR="0">
            <wp:extent cx="6286500" cy="2962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6286500" cy="2962275"/>
                    </a:xfrm>
                    <a:prstGeom prst="rect">
                      <a:avLst/>
                    </a:prstGeom>
                    <a:noFill/>
                    <a:ln w="9525">
                      <a:noFill/>
                      <a:miter lim="800000"/>
                      <a:headEnd/>
                      <a:tailEnd/>
                    </a:ln>
                  </pic:spPr>
                </pic:pic>
              </a:graphicData>
            </a:graphic>
          </wp:inline>
        </w:drawing>
      </w:r>
    </w:p>
    <w:p w:rsidR="002860BD" w:rsidRPr="00407A3E" w:rsidRDefault="002860BD" w:rsidP="002860BD">
      <w:pPr>
        <w:ind w:left="360"/>
        <w:rPr>
          <w:sz w:val="28"/>
          <w:szCs w:val="28"/>
          <w:lang w:val="en-US"/>
        </w:rPr>
      </w:pPr>
    </w:p>
    <w:p w:rsidR="00407A3E" w:rsidRPr="00407A3E" w:rsidRDefault="00F5073B" w:rsidP="00407A3E">
      <w:pPr>
        <w:jc w:val="both"/>
        <w:rPr>
          <w:sz w:val="28"/>
          <w:szCs w:val="28"/>
          <w:lang w:val="ro-RO"/>
        </w:rPr>
      </w:pPr>
      <w:r w:rsidRPr="00407A3E">
        <w:rPr>
          <w:sz w:val="28"/>
          <w:szCs w:val="28"/>
          <w:lang w:val="en-US"/>
        </w:rPr>
        <w:t xml:space="preserve">Prezintă </w:t>
      </w:r>
      <w:r w:rsidR="00B75C31" w:rsidRPr="00407A3E">
        <w:rPr>
          <w:sz w:val="28"/>
          <w:szCs w:val="28"/>
          <w:lang w:val="en-US"/>
        </w:rPr>
        <w:t xml:space="preserve">interes </w:t>
      </w:r>
      <w:r w:rsidR="000B502E" w:rsidRPr="00407A3E">
        <w:rPr>
          <w:sz w:val="28"/>
          <w:szCs w:val="28"/>
          <w:lang w:val="en-US"/>
        </w:rPr>
        <w:t xml:space="preserve">cine au fost organizatorii cursurilor de instruire </w:t>
      </w:r>
      <w:r w:rsidR="00B75C31" w:rsidRPr="00407A3E">
        <w:rPr>
          <w:sz w:val="28"/>
          <w:szCs w:val="28"/>
          <w:lang w:val="en-US"/>
        </w:rPr>
        <w:t xml:space="preserve">continuă </w:t>
      </w:r>
      <w:r w:rsidR="000B502E" w:rsidRPr="00407A3E">
        <w:rPr>
          <w:sz w:val="28"/>
          <w:szCs w:val="28"/>
          <w:lang w:val="en-US"/>
        </w:rPr>
        <w:t>a avocaţilor care acordă asistenţă juridic</w:t>
      </w:r>
      <w:r w:rsidR="00B75C31" w:rsidRPr="00407A3E">
        <w:rPr>
          <w:sz w:val="28"/>
          <w:szCs w:val="28"/>
          <w:lang w:val="en-US"/>
        </w:rPr>
        <w:t>ă</w:t>
      </w:r>
      <w:r w:rsidR="000B502E" w:rsidRPr="00407A3E">
        <w:rPr>
          <w:sz w:val="28"/>
          <w:szCs w:val="28"/>
          <w:lang w:val="en-US"/>
        </w:rPr>
        <w:t xml:space="preserve"> garantată de stat. Astfel, în anul 2012, avocaţii din sistemul de asistenţă juridic</w:t>
      </w:r>
      <w:r w:rsidR="00B75C31" w:rsidRPr="00407A3E">
        <w:rPr>
          <w:sz w:val="28"/>
          <w:szCs w:val="28"/>
          <w:lang w:val="en-US"/>
        </w:rPr>
        <w:t>ă</w:t>
      </w:r>
      <w:r w:rsidR="000B502E" w:rsidRPr="00407A3E">
        <w:rPr>
          <w:sz w:val="28"/>
          <w:szCs w:val="28"/>
          <w:lang w:val="en-US"/>
        </w:rPr>
        <w:t xml:space="preserve"> garantată de stat au participat cu </w:t>
      </w:r>
      <w:r w:rsidR="000B502E" w:rsidRPr="00407A3E">
        <w:rPr>
          <w:sz w:val="28"/>
          <w:szCs w:val="28"/>
          <w:lang w:val="en-US"/>
        </w:rPr>
        <w:lastRenderedPageBreak/>
        <w:t>precădere la cursurile organizate de către: 37 % - CNAJGS şi partenerii săi de dezvoltare, 34 % - ONGuri, organizaţii international</w:t>
      </w:r>
      <w:r w:rsidR="002232A3" w:rsidRPr="00407A3E">
        <w:rPr>
          <w:sz w:val="28"/>
          <w:szCs w:val="28"/>
          <w:lang w:val="en-US"/>
        </w:rPr>
        <w:t>e</w:t>
      </w:r>
      <w:r w:rsidR="000B502E" w:rsidRPr="00407A3E">
        <w:rPr>
          <w:sz w:val="28"/>
          <w:szCs w:val="28"/>
          <w:lang w:val="en-US"/>
        </w:rPr>
        <w:t xml:space="preserve">, agenţii ONU şi </w:t>
      </w:r>
      <w:r w:rsidR="00B75C31" w:rsidRPr="00407A3E">
        <w:rPr>
          <w:sz w:val="28"/>
          <w:szCs w:val="28"/>
          <w:lang w:val="en-US"/>
        </w:rPr>
        <w:t>donator</w:t>
      </w:r>
      <w:r w:rsidR="002232A3" w:rsidRPr="00407A3E">
        <w:rPr>
          <w:sz w:val="28"/>
          <w:szCs w:val="28"/>
          <w:lang w:val="en-US"/>
        </w:rPr>
        <w:t>i</w:t>
      </w:r>
      <w:r w:rsidR="00B75C31" w:rsidRPr="00407A3E">
        <w:rPr>
          <w:sz w:val="28"/>
          <w:szCs w:val="28"/>
          <w:lang w:val="en-US"/>
        </w:rPr>
        <w:t>, 24 % - Uniunea Avocaţilor şi partenerii săi de dezvoltare şi 5 % - altcineva.</w:t>
      </w:r>
      <w:r w:rsidR="00A7592B" w:rsidRPr="00407A3E">
        <w:rPr>
          <w:sz w:val="28"/>
          <w:szCs w:val="28"/>
          <w:lang w:val="en-US"/>
        </w:rPr>
        <w:t xml:space="preserve"> P</w:t>
      </w:r>
      <w:r w:rsidR="00B73A9C" w:rsidRPr="00407A3E">
        <w:rPr>
          <w:sz w:val="28"/>
          <w:szCs w:val="28"/>
          <w:lang w:val="en-US"/>
        </w:rPr>
        <w:t>rintre prestatorii serviciilor de instruire a avocaţilor care acordă asistenţă juridic</w:t>
      </w:r>
      <w:r w:rsidR="00407A3E">
        <w:rPr>
          <w:sz w:val="28"/>
          <w:szCs w:val="28"/>
          <w:lang w:val="en-US"/>
        </w:rPr>
        <w:t>ă</w:t>
      </w:r>
      <w:r w:rsidR="00B73A9C" w:rsidRPr="00407A3E">
        <w:rPr>
          <w:sz w:val="28"/>
          <w:szCs w:val="28"/>
          <w:lang w:val="en-US"/>
        </w:rPr>
        <w:t xml:space="preserve"> garantată de stat se înscriu:</w:t>
      </w:r>
      <w:r w:rsidR="00407A3E" w:rsidRPr="00407A3E">
        <w:rPr>
          <w:sz w:val="28"/>
          <w:szCs w:val="28"/>
          <w:lang w:val="en-US"/>
        </w:rPr>
        <w:t xml:space="preserve"> </w:t>
      </w:r>
      <w:r w:rsidR="00407A3E" w:rsidRPr="00407A3E">
        <w:rPr>
          <w:sz w:val="28"/>
          <w:szCs w:val="28"/>
          <w:lang w:val="ro-RO"/>
        </w:rPr>
        <w:t>Fundaţia SOROS-Moldova (FSM); Programul Naţiunilor Unite pentru Dezvoltare în Moldova (PNUD Moldova); Misiunea OSCE în Moldova</w:t>
      </w:r>
      <w:r w:rsidR="00DA5228">
        <w:rPr>
          <w:sz w:val="28"/>
          <w:szCs w:val="28"/>
          <w:lang w:val="ro-RO"/>
        </w:rPr>
        <w:t>;</w:t>
      </w:r>
      <w:r w:rsidR="00407A3E" w:rsidRPr="00407A3E">
        <w:rPr>
          <w:sz w:val="28"/>
          <w:szCs w:val="28"/>
          <w:lang w:val="ro-RO"/>
        </w:rPr>
        <w:t xml:space="preserve"> Misiunea Norvegiană de Experţi pentru Promovarea Supremaţiei Legii în Moldova (NORLAM); Asociaţia Barourilor Americane Iniţiativa pentru Supremaţia Legii (ABA ROLI Moldova); Biroul Asociat de Avocaţi „Avocaţii Publici” (BAA „Avocaţii Publici”); Asociaţia Obştească „Institutul de </w:t>
      </w:r>
      <w:r w:rsidR="00E2078F" w:rsidRPr="00407A3E">
        <w:rPr>
          <w:sz w:val="28"/>
          <w:szCs w:val="28"/>
          <w:lang w:val="ro-RO"/>
        </w:rPr>
        <w:t>Reforme Penale</w:t>
      </w:r>
      <w:r w:rsidR="00407A3E" w:rsidRPr="00407A3E">
        <w:rPr>
          <w:sz w:val="28"/>
          <w:szCs w:val="28"/>
          <w:lang w:val="ro-RO"/>
        </w:rPr>
        <w:t xml:space="preserve">” (IRP); Asociaţia Obştească “Human Rights Embassy”(HRE); Asociaţia Obştească „Amnesty International Moldova”; Asociaţia Obştească “Centrul de Drept al Avocaţilor”(CDA); Asociaţia Obştească </w:t>
      </w:r>
      <w:r w:rsidR="00116DA3">
        <w:rPr>
          <w:sz w:val="28"/>
          <w:szCs w:val="28"/>
          <w:lang w:val="ro-RO"/>
        </w:rPr>
        <w:t>„</w:t>
      </w:r>
      <w:r w:rsidR="00407A3E" w:rsidRPr="00407A3E">
        <w:rPr>
          <w:sz w:val="28"/>
          <w:szCs w:val="28"/>
          <w:lang w:val="ro-RO"/>
        </w:rPr>
        <w:t>Institutul pentru Drepturile Omului în Moldova</w:t>
      </w:r>
      <w:r w:rsidR="00116DA3">
        <w:rPr>
          <w:sz w:val="28"/>
          <w:szCs w:val="28"/>
          <w:lang w:val="ro-RO"/>
        </w:rPr>
        <w:t>”</w:t>
      </w:r>
      <w:r w:rsidR="00407A3E" w:rsidRPr="00407A3E">
        <w:rPr>
          <w:sz w:val="28"/>
          <w:szCs w:val="28"/>
          <w:lang w:val="ro-RO"/>
        </w:rPr>
        <w:t xml:space="preserve"> (IDOM); Asociaţia Obştească „Centrul de Informare în domeniul Drepturilor Omului” (CIDO); Coaliţia nediscriminare (CND) etc</w:t>
      </w:r>
      <w:r>
        <w:rPr>
          <w:rStyle w:val="FootnoteReference"/>
          <w:sz w:val="28"/>
          <w:szCs w:val="28"/>
          <w:lang w:val="ro-RO"/>
        </w:rPr>
        <w:footnoteReference w:id="3"/>
      </w:r>
      <w:r w:rsidR="00407A3E" w:rsidRPr="00407A3E">
        <w:rPr>
          <w:sz w:val="28"/>
          <w:szCs w:val="28"/>
          <w:lang w:val="ro-RO"/>
        </w:rPr>
        <w:t>.</w:t>
      </w:r>
      <w:r w:rsidR="00116DA3">
        <w:rPr>
          <w:sz w:val="28"/>
          <w:szCs w:val="28"/>
          <w:lang w:val="ro-RO"/>
        </w:rPr>
        <w:t xml:space="preserve"> Marea majoritate</w:t>
      </w:r>
      <w:r w:rsidR="00E2078F">
        <w:rPr>
          <w:sz w:val="28"/>
          <w:szCs w:val="28"/>
          <w:lang w:val="ro-RO"/>
        </w:rPr>
        <w:t xml:space="preserve"> a acestora sunt parteneri</w:t>
      </w:r>
      <w:r w:rsidR="00116DA3">
        <w:rPr>
          <w:sz w:val="28"/>
          <w:szCs w:val="28"/>
          <w:lang w:val="ro-RO"/>
        </w:rPr>
        <w:t xml:space="preserve"> a</w:t>
      </w:r>
      <w:r w:rsidR="00E2078F">
        <w:rPr>
          <w:sz w:val="28"/>
          <w:szCs w:val="28"/>
          <w:lang w:val="ro-RO"/>
        </w:rPr>
        <w:t xml:space="preserve">i CNAJGS. În cadrul interviurilor, unii avocaţi şi-au manifestat indignarea că uneori trebuie să participe la instruiri organizate </w:t>
      </w:r>
      <w:r w:rsidR="00E81C0D">
        <w:rPr>
          <w:sz w:val="28"/>
          <w:szCs w:val="28"/>
          <w:lang w:val="ro-RO"/>
        </w:rPr>
        <w:t>la</w:t>
      </w:r>
      <w:r w:rsidR="00E2078F">
        <w:rPr>
          <w:sz w:val="28"/>
          <w:szCs w:val="28"/>
          <w:lang w:val="ro-RO"/>
        </w:rPr>
        <w:t xml:space="preserve"> tem</w:t>
      </w:r>
      <w:r w:rsidR="00E81C0D">
        <w:rPr>
          <w:sz w:val="28"/>
          <w:szCs w:val="28"/>
          <w:lang w:val="ro-RO"/>
        </w:rPr>
        <w:t>e pe</w:t>
      </w:r>
      <w:r w:rsidR="00E2078F">
        <w:rPr>
          <w:sz w:val="28"/>
          <w:szCs w:val="28"/>
          <w:lang w:val="ro-RO"/>
        </w:rPr>
        <w:t xml:space="preserve"> care le decid donatorii şi „nu găsesc explicaţie de ce Uniunea Avocaţilor nu contribuie la formularea de către donatori a unor programe care ar corespunde interesului avocaţilor”.</w:t>
      </w:r>
    </w:p>
    <w:p w:rsidR="002860BD" w:rsidRPr="009E6172" w:rsidRDefault="002860BD" w:rsidP="002860BD">
      <w:pPr>
        <w:ind w:left="720"/>
        <w:jc w:val="center"/>
        <w:rPr>
          <w:i/>
          <w:lang w:val="ro-RO"/>
        </w:rPr>
      </w:pPr>
      <w:r w:rsidRPr="00727476">
        <w:rPr>
          <w:i/>
          <w:lang w:val="ro-RO"/>
        </w:rPr>
        <w:t xml:space="preserve">Cum credeţi, care ar fi </w:t>
      </w:r>
      <w:r w:rsidRPr="00727476">
        <w:rPr>
          <w:b/>
          <w:bCs/>
          <w:i/>
          <w:lang w:val="ro-RO"/>
        </w:rPr>
        <w:t>numărul de</w:t>
      </w:r>
      <w:r w:rsidRPr="009E6172">
        <w:rPr>
          <w:b/>
          <w:bCs/>
          <w:i/>
          <w:lang w:val="ro-RO"/>
        </w:rPr>
        <w:t xml:space="preserve"> ore de instruire continuă pe care ar trebui să le urmeze un avocat anual</w:t>
      </w:r>
      <w:r w:rsidRPr="009E6172">
        <w:rPr>
          <w:i/>
          <w:lang w:val="ro-RO"/>
        </w:rPr>
        <w:t>:</w:t>
      </w:r>
    </w:p>
    <w:p w:rsidR="002860BD" w:rsidRDefault="00C43127" w:rsidP="002860BD">
      <w:pPr>
        <w:ind w:left="360"/>
        <w:rPr>
          <w:lang w:val="en-US"/>
        </w:rPr>
      </w:pPr>
      <w:r>
        <w:rPr>
          <w:noProof/>
        </w:rPr>
        <w:drawing>
          <wp:inline distT="0" distB="0" distL="0" distR="0">
            <wp:extent cx="6172200" cy="3038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6172200" cy="3038475"/>
                    </a:xfrm>
                    <a:prstGeom prst="rect">
                      <a:avLst/>
                    </a:prstGeom>
                    <a:noFill/>
                    <a:ln w="9525">
                      <a:noFill/>
                      <a:miter lim="800000"/>
                      <a:headEnd/>
                      <a:tailEnd/>
                    </a:ln>
                  </pic:spPr>
                </pic:pic>
              </a:graphicData>
            </a:graphic>
          </wp:inline>
        </w:drawing>
      </w:r>
    </w:p>
    <w:p w:rsidR="00B5367B" w:rsidRDefault="00B5367B" w:rsidP="00727476">
      <w:pPr>
        <w:jc w:val="both"/>
        <w:rPr>
          <w:sz w:val="28"/>
          <w:szCs w:val="28"/>
          <w:lang w:val="en-US"/>
        </w:rPr>
      </w:pPr>
    </w:p>
    <w:p w:rsidR="002860BD" w:rsidRPr="00727476" w:rsidRDefault="00727476" w:rsidP="00727476">
      <w:pPr>
        <w:jc w:val="both"/>
        <w:rPr>
          <w:sz w:val="28"/>
          <w:szCs w:val="28"/>
          <w:lang w:val="ro-RO"/>
        </w:rPr>
      </w:pPr>
      <w:r w:rsidRPr="00BE1759">
        <w:rPr>
          <w:sz w:val="28"/>
          <w:szCs w:val="28"/>
          <w:lang w:val="en-US"/>
        </w:rPr>
        <w:t>45 % dintre avocaţii care ac</w:t>
      </w:r>
      <w:r w:rsidR="004C6037" w:rsidRPr="00BE1759">
        <w:rPr>
          <w:sz w:val="28"/>
          <w:szCs w:val="28"/>
          <w:lang w:val="en-US"/>
        </w:rPr>
        <w:t>o</w:t>
      </w:r>
      <w:r w:rsidRPr="00BE1759">
        <w:rPr>
          <w:sz w:val="28"/>
          <w:szCs w:val="28"/>
          <w:lang w:val="en-US"/>
        </w:rPr>
        <w:t>rdă asistenţă juridic</w:t>
      </w:r>
      <w:r w:rsidR="004C6037" w:rsidRPr="00BE1759">
        <w:rPr>
          <w:sz w:val="28"/>
          <w:szCs w:val="28"/>
          <w:lang w:val="en-US"/>
        </w:rPr>
        <w:t>ă</w:t>
      </w:r>
      <w:r w:rsidRPr="00BE1759">
        <w:rPr>
          <w:sz w:val="28"/>
          <w:szCs w:val="28"/>
          <w:lang w:val="en-US"/>
        </w:rPr>
        <w:t xml:space="preserve"> garantată de stat consideră că numărul anual</w:t>
      </w:r>
      <w:r w:rsidRPr="00727476">
        <w:rPr>
          <w:sz w:val="28"/>
          <w:szCs w:val="28"/>
          <w:lang w:val="en-US"/>
        </w:rPr>
        <w:t xml:space="preserve"> al orelor de instruire continuă trebuie să fie 20 – 40, 26 % consideră că avocaţii trebuie să urmeze 40-80 ore de instruire continu</w:t>
      </w:r>
      <w:r w:rsidR="004C6037">
        <w:rPr>
          <w:sz w:val="28"/>
          <w:szCs w:val="28"/>
          <w:lang w:val="en-US"/>
        </w:rPr>
        <w:t>ă</w:t>
      </w:r>
      <w:r w:rsidRPr="00727476">
        <w:rPr>
          <w:sz w:val="28"/>
          <w:szCs w:val="28"/>
          <w:lang w:val="en-US"/>
        </w:rPr>
        <w:t>, 18 %  - 10-20 ore de instruire continu</w:t>
      </w:r>
      <w:r w:rsidR="004C6037">
        <w:rPr>
          <w:sz w:val="28"/>
          <w:szCs w:val="28"/>
          <w:lang w:val="en-US"/>
        </w:rPr>
        <w:t>ă</w:t>
      </w:r>
      <w:r w:rsidRPr="00727476">
        <w:rPr>
          <w:sz w:val="28"/>
          <w:szCs w:val="28"/>
          <w:lang w:val="en-US"/>
        </w:rPr>
        <w:t xml:space="preserve"> anual. Doar 6 % dintre respondenţii la chestionar au considerat că este nevoie de până la 10 ore de instruire continuă anual, 3 % pledând pentru </w:t>
      </w:r>
      <w:r w:rsidRPr="00727476">
        <w:rPr>
          <w:sz w:val="28"/>
          <w:szCs w:val="28"/>
          <w:lang w:val="en-US"/>
        </w:rPr>
        <w:lastRenderedPageBreak/>
        <w:t>80-120 de ore de instruire continuă pe an şi câte 1 % - fie nu este nevoie în general de instruire continuă fie au indicat un număr mai mare de 120 de ore anual de instrure continu</w:t>
      </w:r>
      <w:r w:rsidR="004C6037">
        <w:rPr>
          <w:sz w:val="28"/>
          <w:szCs w:val="28"/>
          <w:lang w:val="en-US"/>
        </w:rPr>
        <w:t>ă</w:t>
      </w:r>
      <w:r w:rsidRPr="00727476">
        <w:rPr>
          <w:sz w:val="28"/>
          <w:szCs w:val="28"/>
          <w:lang w:val="en-US"/>
        </w:rPr>
        <w:t>.</w:t>
      </w:r>
      <w:r>
        <w:rPr>
          <w:sz w:val="28"/>
          <w:szCs w:val="28"/>
          <w:lang w:val="en-US"/>
        </w:rPr>
        <w:t xml:space="preserve"> Nu a constituit un obiectiv al cercetării de a determina categ</w:t>
      </w:r>
      <w:r w:rsidR="004C6037">
        <w:rPr>
          <w:sz w:val="28"/>
          <w:szCs w:val="28"/>
          <w:lang w:val="en-US"/>
        </w:rPr>
        <w:t>oria de vârstă a celora care pl</w:t>
      </w:r>
      <w:r>
        <w:rPr>
          <w:sz w:val="28"/>
          <w:szCs w:val="28"/>
          <w:lang w:val="en-US"/>
        </w:rPr>
        <w:t>edează pentru un număr mai mare sau mai mic de ore anuale de instruire continu</w:t>
      </w:r>
      <w:r w:rsidR="00BE1759">
        <w:rPr>
          <w:sz w:val="28"/>
          <w:szCs w:val="28"/>
          <w:lang w:val="ro-RO"/>
        </w:rPr>
        <w:t>ă</w:t>
      </w:r>
      <w:r>
        <w:rPr>
          <w:sz w:val="28"/>
          <w:szCs w:val="28"/>
          <w:lang w:val="en-US"/>
        </w:rPr>
        <w:t>, totuşi în cadrul focus grupurilor s-a obervat că, de regulă, avocaţii cu o experienţă avansată pledează pentru un număr mai mic de ore de instruire continu</w:t>
      </w:r>
      <w:r w:rsidR="004C6037">
        <w:rPr>
          <w:sz w:val="28"/>
          <w:szCs w:val="28"/>
          <w:lang w:val="en-US"/>
        </w:rPr>
        <w:t>ă</w:t>
      </w:r>
      <w:r>
        <w:rPr>
          <w:sz w:val="28"/>
          <w:szCs w:val="28"/>
          <w:lang w:val="en-US"/>
        </w:rPr>
        <w:t>. În cadrul interviurilor s-a menţionat că anterior nu se dădea importanţă instuirii continu</w:t>
      </w:r>
      <w:r w:rsidR="004C6037">
        <w:rPr>
          <w:sz w:val="28"/>
          <w:szCs w:val="28"/>
          <w:lang w:val="en-US"/>
        </w:rPr>
        <w:t>e</w:t>
      </w:r>
      <w:r>
        <w:rPr>
          <w:sz w:val="28"/>
          <w:szCs w:val="28"/>
          <w:lang w:val="en-US"/>
        </w:rPr>
        <w:t xml:space="preserve"> în virtutea unor elemente disfuncţionale ale sistemului de justiţie, însă pe măsură ce exigenţele faţă de </w:t>
      </w:r>
      <w:r w:rsidR="004C6037">
        <w:rPr>
          <w:sz w:val="28"/>
          <w:szCs w:val="28"/>
          <w:lang w:val="en-US"/>
        </w:rPr>
        <w:t>procedură</w:t>
      </w:r>
      <w:r>
        <w:rPr>
          <w:sz w:val="28"/>
          <w:szCs w:val="28"/>
          <w:lang w:val="en-US"/>
        </w:rPr>
        <w:t xml:space="preserve"> </w:t>
      </w:r>
      <w:r w:rsidR="00B5367B">
        <w:rPr>
          <w:sz w:val="28"/>
          <w:szCs w:val="28"/>
          <w:lang w:val="en-US"/>
        </w:rPr>
        <w:t>sunt</w:t>
      </w:r>
      <w:r w:rsidR="004C6037">
        <w:rPr>
          <w:sz w:val="28"/>
          <w:szCs w:val="28"/>
          <w:lang w:val="en-US"/>
        </w:rPr>
        <w:t xml:space="preserve"> mai înalte</w:t>
      </w:r>
      <w:r>
        <w:rPr>
          <w:sz w:val="28"/>
          <w:szCs w:val="28"/>
          <w:lang w:val="en-US"/>
        </w:rPr>
        <w:t xml:space="preserve">, cererea pentru instruire </w:t>
      </w:r>
      <w:r w:rsidR="004C6037">
        <w:rPr>
          <w:sz w:val="28"/>
          <w:szCs w:val="28"/>
          <w:lang w:val="en-US"/>
        </w:rPr>
        <w:t>continuă</w:t>
      </w:r>
      <w:r>
        <w:rPr>
          <w:sz w:val="28"/>
          <w:szCs w:val="28"/>
          <w:lang w:val="en-US"/>
        </w:rPr>
        <w:t xml:space="preserve"> va creşte. Mai mult decât atât, c</w:t>
      </w:r>
      <w:r w:rsidR="004C6037">
        <w:rPr>
          <w:sz w:val="28"/>
          <w:szCs w:val="28"/>
          <w:lang w:val="en-US"/>
        </w:rPr>
        <w:t>âţiva avocaţi cu experi</w:t>
      </w:r>
      <w:r>
        <w:rPr>
          <w:sz w:val="28"/>
          <w:szCs w:val="28"/>
          <w:lang w:val="en-US"/>
        </w:rPr>
        <w:t>e</w:t>
      </w:r>
      <w:r w:rsidR="004C6037">
        <w:rPr>
          <w:sz w:val="28"/>
          <w:szCs w:val="28"/>
          <w:lang w:val="en-US"/>
        </w:rPr>
        <w:t>n</w:t>
      </w:r>
      <w:r>
        <w:rPr>
          <w:sz w:val="28"/>
          <w:szCs w:val="28"/>
          <w:lang w:val="en-US"/>
        </w:rPr>
        <w:t>ţă înaintată au recunoscut c</w:t>
      </w:r>
      <w:r w:rsidR="004C6037">
        <w:rPr>
          <w:sz w:val="28"/>
          <w:szCs w:val="28"/>
          <w:lang w:val="en-US"/>
        </w:rPr>
        <w:t>ă uneori nu le este prea comod s</w:t>
      </w:r>
      <w:r>
        <w:rPr>
          <w:sz w:val="28"/>
          <w:szCs w:val="28"/>
          <w:lang w:val="en-US"/>
        </w:rPr>
        <w:t>ă participle la instruiri atunci când în calitate de formatori sunt avocaţi mai tineri. Astfel, este important ca la activităţile de instruire să participle persoane cu experienţă avansată şi formatorii să creeze contextul necesar pentru ca toate categor</w:t>
      </w:r>
      <w:r w:rsidR="004C6037">
        <w:rPr>
          <w:sz w:val="28"/>
          <w:szCs w:val="28"/>
          <w:lang w:val="en-US"/>
        </w:rPr>
        <w:t xml:space="preserve">iile de vârstă să se bucure de </w:t>
      </w:r>
      <w:r w:rsidR="00BE1759">
        <w:rPr>
          <w:sz w:val="28"/>
          <w:szCs w:val="28"/>
          <w:lang w:val="en-US"/>
        </w:rPr>
        <w:t xml:space="preserve">un </w:t>
      </w:r>
      <w:r w:rsidR="004C6037">
        <w:rPr>
          <w:sz w:val="28"/>
          <w:szCs w:val="28"/>
          <w:lang w:val="en-US"/>
        </w:rPr>
        <w:t>mediu educational adecvat. Totodată, este cert că avocaţii acordă atenţie şi conştientizează importanţa instruirii continue, mai ales în contextual modificărilor legislative şi instituţionale din domeniul justiţiei.</w:t>
      </w:r>
    </w:p>
    <w:p w:rsidR="002860BD" w:rsidRPr="00727476" w:rsidRDefault="002860BD" w:rsidP="00727476">
      <w:pPr>
        <w:jc w:val="both"/>
        <w:rPr>
          <w:sz w:val="28"/>
          <w:szCs w:val="28"/>
          <w:lang w:val="ro-RO"/>
        </w:rPr>
      </w:pPr>
    </w:p>
    <w:p w:rsidR="00AD024D" w:rsidRPr="001A22D8" w:rsidRDefault="00AD024D" w:rsidP="001A22D8">
      <w:pPr>
        <w:jc w:val="center"/>
        <w:rPr>
          <w:i/>
          <w:iCs/>
          <w:lang w:val="ro-RO"/>
        </w:rPr>
      </w:pPr>
      <w:r w:rsidRPr="001A22D8">
        <w:rPr>
          <w:rFonts w:hAnsi="Tahoma" w:cs="Tahoma"/>
          <w:i/>
          <w:lang w:val="ro-RO"/>
        </w:rPr>
        <w:t>Ţ</w:t>
      </w:r>
      <w:r w:rsidRPr="001A22D8">
        <w:rPr>
          <w:i/>
          <w:lang w:val="ro-RO"/>
        </w:rPr>
        <w:t xml:space="preserve">inând cont de gradul de implicare a avocaţilor în sistemul de AJGS, </w:t>
      </w:r>
      <w:r w:rsidRPr="001A22D8">
        <w:rPr>
          <w:b/>
          <w:bCs/>
          <w:i/>
          <w:lang w:val="ro-RO"/>
        </w:rPr>
        <w:t>ponderea orelor de instruire continuă oferite</w:t>
      </w:r>
      <w:r w:rsidRPr="001A22D8">
        <w:rPr>
          <w:i/>
          <w:lang w:val="ro-RO"/>
        </w:rPr>
        <w:t xml:space="preserve"> </w:t>
      </w:r>
      <w:r w:rsidRPr="001A22D8">
        <w:rPr>
          <w:b/>
          <w:bCs/>
          <w:i/>
          <w:lang w:val="ro-RO"/>
        </w:rPr>
        <w:t>avocaţilor care acordă AJGS</w:t>
      </w:r>
      <w:r w:rsidRPr="001A22D8">
        <w:rPr>
          <w:i/>
          <w:lang w:val="ro-RO"/>
        </w:rPr>
        <w:t xml:space="preserve"> </w:t>
      </w:r>
      <w:r w:rsidRPr="001A22D8">
        <w:rPr>
          <w:b/>
          <w:bCs/>
          <w:i/>
          <w:lang w:val="ro-RO"/>
        </w:rPr>
        <w:t xml:space="preserve">de către UA şi CNAJGS </w:t>
      </w:r>
      <w:r w:rsidRPr="001A22D8">
        <w:rPr>
          <w:i/>
          <w:lang w:val="ro-RO"/>
        </w:rPr>
        <w:t xml:space="preserve">(responsabil de organizare şi costuri), </w:t>
      </w:r>
      <w:r w:rsidRPr="001A22D8">
        <w:rPr>
          <w:i/>
          <w:iCs/>
          <w:lang w:val="ro-RO"/>
        </w:rPr>
        <w:t xml:space="preserve">în %, </w:t>
      </w:r>
      <w:r w:rsidRPr="001A22D8">
        <w:rPr>
          <w:b/>
          <w:bCs/>
          <w:i/>
          <w:lang w:val="ro-RO"/>
        </w:rPr>
        <w:t>trebuie să fie:</w:t>
      </w:r>
    </w:p>
    <w:p w:rsidR="00AD024D" w:rsidRDefault="00C43127" w:rsidP="00AD024D">
      <w:pPr>
        <w:rPr>
          <w:lang w:val="ro-RO"/>
        </w:rPr>
      </w:pPr>
      <w:r>
        <w:rPr>
          <w:noProof/>
        </w:rPr>
        <w:drawing>
          <wp:inline distT="0" distB="0" distL="0" distR="0">
            <wp:extent cx="6400800"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6400800" cy="2514600"/>
                    </a:xfrm>
                    <a:prstGeom prst="rect">
                      <a:avLst/>
                    </a:prstGeom>
                    <a:noFill/>
                    <a:ln w="9525">
                      <a:noFill/>
                      <a:miter lim="800000"/>
                      <a:headEnd/>
                      <a:tailEnd/>
                    </a:ln>
                  </pic:spPr>
                </pic:pic>
              </a:graphicData>
            </a:graphic>
          </wp:inline>
        </w:drawing>
      </w:r>
    </w:p>
    <w:p w:rsidR="00AD024D" w:rsidRDefault="00AD024D" w:rsidP="00AD024D">
      <w:pPr>
        <w:ind w:left="360"/>
        <w:rPr>
          <w:lang w:val="ro-RO"/>
        </w:rPr>
      </w:pPr>
    </w:p>
    <w:p w:rsidR="00AD024D" w:rsidRPr="00B5367B" w:rsidRDefault="00B5367B" w:rsidP="00B5367B">
      <w:pPr>
        <w:jc w:val="both"/>
        <w:rPr>
          <w:sz w:val="28"/>
          <w:szCs w:val="28"/>
          <w:lang w:val="ro-RO"/>
        </w:rPr>
      </w:pPr>
      <w:r w:rsidRPr="00A53C90">
        <w:rPr>
          <w:sz w:val="28"/>
          <w:szCs w:val="28"/>
          <w:lang w:val="ro-RO"/>
        </w:rPr>
        <w:t>Majoritate</w:t>
      </w:r>
      <w:r w:rsidRPr="00B5367B">
        <w:rPr>
          <w:sz w:val="28"/>
          <w:szCs w:val="28"/>
          <w:lang w:val="ro-RO"/>
        </w:rPr>
        <w:t xml:space="preserve">a avocaţilor </w:t>
      </w:r>
      <w:r w:rsidR="002E020F">
        <w:rPr>
          <w:sz w:val="28"/>
          <w:szCs w:val="28"/>
          <w:lang w:val="ro-RO"/>
        </w:rPr>
        <w:t xml:space="preserve">care acordă asistenţă juridică garantată de stat </w:t>
      </w:r>
      <w:r w:rsidRPr="00B5367B">
        <w:rPr>
          <w:sz w:val="28"/>
          <w:szCs w:val="28"/>
          <w:lang w:val="ro-RO"/>
        </w:rPr>
        <w:t>(52 %) consideră că instruirea continuă</w:t>
      </w:r>
      <w:r w:rsidR="002E020F">
        <w:rPr>
          <w:sz w:val="28"/>
          <w:szCs w:val="28"/>
          <w:lang w:val="ro-RO"/>
        </w:rPr>
        <w:t xml:space="preserve"> a lor </w:t>
      </w:r>
      <w:r w:rsidRPr="00B5367B">
        <w:rPr>
          <w:sz w:val="28"/>
          <w:szCs w:val="28"/>
          <w:lang w:val="ro-RO"/>
        </w:rPr>
        <w:t xml:space="preserve">trebuie să fie oferită în egală măsură atât de către CNAJGS </w:t>
      </w:r>
      <w:r>
        <w:rPr>
          <w:sz w:val="28"/>
          <w:szCs w:val="28"/>
          <w:lang w:val="ro-RO"/>
        </w:rPr>
        <w:t>cât şi</w:t>
      </w:r>
      <w:r w:rsidRPr="00B5367B">
        <w:rPr>
          <w:sz w:val="28"/>
          <w:szCs w:val="28"/>
          <w:lang w:val="ro-RO"/>
        </w:rPr>
        <w:t xml:space="preserve"> de către Uniunea Avocaţilor.</w:t>
      </w:r>
      <w:r>
        <w:rPr>
          <w:sz w:val="28"/>
          <w:szCs w:val="28"/>
          <w:lang w:val="ro-RO"/>
        </w:rPr>
        <w:t xml:space="preserve"> 19 % dintre avocaţi</w:t>
      </w:r>
      <w:r w:rsidR="002E020F">
        <w:rPr>
          <w:sz w:val="28"/>
          <w:szCs w:val="28"/>
          <w:lang w:val="ro-RO"/>
        </w:rPr>
        <w:t xml:space="preserve">i respondenţi la chestionar </w:t>
      </w:r>
      <w:r>
        <w:rPr>
          <w:sz w:val="28"/>
          <w:szCs w:val="28"/>
          <w:lang w:val="ro-RO"/>
        </w:rPr>
        <w:t>au menţionat că,</w:t>
      </w:r>
      <w:r w:rsidR="002E020F">
        <w:rPr>
          <w:sz w:val="28"/>
          <w:szCs w:val="28"/>
          <w:lang w:val="ro-RO"/>
        </w:rPr>
        <w:t xml:space="preserve"> CNAJGS ar trebui</w:t>
      </w:r>
      <w:r>
        <w:rPr>
          <w:sz w:val="28"/>
          <w:szCs w:val="28"/>
          <w:lang w:val="ro-RO"/>
        </w:rPr>
        <w:t xml:space="preserve"> să ofere 70 % dintre orele de instruire continuă</w:t>
      </w:r>
      <w:r w:rsidR="002E020F">
        <w:rPr>
          <w:sz w:val="28"/>
          <w:szCs w:val="28"/>
          <w:lang w:val="ro-RO"/>
        </w:rPr>
        <w:t xml:space="preserve"> avocaţilor care acordă asistenţă juridică garantată de stat</w:t>
      </w:r>
      <w:r>
        <w:rPr>
          <w:sz w:val="28"/>
          <w:szCs w:val="28"/>
          <w:lang w:val="ro-RO"/>
        </w:rPr>
        <w:t>, în timp ce 14 % au menţionat că 70 % dintre orele de instruire continuă trebuie să fie oferite de către Uniunea Avocaţilor.</w:t>
      </w:r>
      <w:r w:rsidR="002E020F">
        <w:rPr>
          <w:sz w:val="28"/>
          <w:szCs w:val="28"/>
          <w:lang w:val="ro-RO"/>
        </w:rPr>
        <w:t xml:space="preserve"> 12 % dintre respondenţi au invocat că, orele de instruire continuă pentru avocaţii din sistemul de asistenţă juridică garantată de stat trebuie să fie oferite integral de către CNAJGS, în timp ce 1 % dintre respondenţi consideră că numai Uniunea Avocaţilor trebuie să asigure instruirea </w:t>
      </w:r>
      <w:r w:rsidR="002E020F">
        <w:rPr>
          <w:sz w:val="28"/>
          <w:szCs w:val="28"/>
          <w:lang w:val="ro-RO"/>
        </w:rPr>
        <w:lastRenderedPageBreak/>
        <w:t>continuă a avocaţilor care acordă asistenţă juridică garantată de stat. În cadrul interviurilor s-a menţionat că, CNAJGS trebuie să aibă un rol mai activ, cel puţin atât timp cât sistemul de instruire continuă în cadrul Uniunii Avocaţilor încă nu este determinat. Astfel, în virtutea gradului de implicare a avocaţilor privaţi în sistemul de asistenţă juridică garantată de stat, CNAJGS urmează a fi implicat în asigurarea a 20 de ore de instruire continuă a avocaţilor care acordă asistenţă juridică garantată de stat.</w:t>
      </w:r>
    </w:p>
    <w:p w:rsidR="00AD024D" w:rsidRDefault="00AD024D" w:rsidP="00AD024D">
      <w:pPr>
        <w:rPr>
          <w:lang w:val="ro-RO"/>
        </w:rPr>
      </w:pPr>
    </w:p>
    <w:p w:rsidR="002920A2" w:rsidRPr="00060BB0" w:rsidRDefault="00AD024D" w:rsidP="002920A2">
      <w:pPr>
        <w:jc w:val="center"/>
        <w:rPr>
          <w:lang w:val="ro-RO"/>
        </w:rPr>
      </w:pPr>
      <w:r w:rsidRPr="00060BB0">
        <w:rPr>
          <w:b/>
          <w:bCs/>
          <w:i/>
          <w:lang w:val="ro-RO"/>
        </w:rPr>
        <w:t>CNAJGS ar asigura instruirea continuă</w:t>
      </w:r>
      <w:r w:rsidRPr="00060BB0">
        <w:rPr>
          <w:i/>
          <w:lang w:val="ro-RO"/>
        </w:rPr>
        <w:t xml:space="preserve"> </w:t>
      </w:r>
      <w:r w:rsidRPr="00060BB0">
        <w:rPr>
          <w:b/>
          <w:i/>
          <w:lang w:val="ro-RO"/>
        </w:rPr>
        <w:t>pentru avoca</w:t>
      </w:r>
      <w:r w:rsidRPr="00060BB0">
        <w:rPr>
          <w:rFonts w:hAnsi="Tahoma" w:cs="Tahoma"/>
          <w:b/>
          <w:i/>
          <w:lang w:val="ro-RO"/>
        </w:rPr>
        <w:t>ţ</w:t>
      </w:r>
      <w:r w:rsidR="002920A2" w:rsidRPr="00060BB0">
        <w:rPr>
          <w:b/>
          <w:i/>
          <w:lang w:val="ro-RO"/>
        </w:rPr>
        <w:t>ii care acordă AJGS</w:t>
      </w:r>
      <w:r w:rsidR="002920A2" w:rsidRPr="00060BB0">
        <w:rPr>
          <w:i/>
          <w:lang w:val="ro-RO"/>
        </w:rPr>
        <w:t xml:space="preserve"> </w:t>
      </w:r>
      <w:r w:rsidR="002920A2" w:rsidRPr="00060BB0">
        <w:rPr>
          <w:i/>
          <w:iCs/>
          <w:lang w:val="ro-RO"/>
        </w:rPr>
        <w:t>(puteţi alege mai multe opţiuni)</w:t>
      </w:r>
      <w:r w:rsidR="002920A2" w:rsidRPr="00060BB0">
        <w:rPr>
          <w:lang w:val="ro-RO"/>
        </w:rPr>
        <w:t>:</w:t>
      </w:r>
    </w:p>
    <w:p w:rsidR="002920A2" w:rsidRDefault="002920A2" w:rsidP="002920A2">
      <w:pPr>
        <w:rPr>
          <w:lang w:val="ro-RO"/>
        </w:rPr>
      </w:pPr>
    </w:p>
    <w:p w:rsidR="002920A2" w:rsidRDefault="00C43127" w:rsidP="002920A2">
      <w:pPr>
        <w:jc w:val="center"/>
        <w:rPr>
          <w:lang w:val="ro-RO"/>
        </w:rPr>
      </w:pPr>
      <w:r>
        <w:rPr>
          <w:rFonts w:eastAsia="Calibri"/>
          <w:noProof/>
        </w:rPr>
        <w:drawing>
          <wp:inline distT="0" distB="0" distL="0" distR="0">
            <wp:extent cx="5648325" cy="4314825"/>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659E" w:rsidRDefault="00060BB0" w:rsidP="00060BB0">
      <w:pPr>
        <w:jc w:val="both"/>
        <w:rPr>
          <w:sz w:val="28"/>
          <w:szCs w:val="28"/>
          <w:lang w:val="ro-RO"/>
        </w:rPr>
      </w:pPr>
      <w:r w:rsidRPr="001844EB">
        <w:rPr>
          <w:sz w:val="28"/>
          <w:szCs w:val="28"/>
          <w:lang w:val="ro-RO"/>
        </w:rPr>
        <w:t>Avocaţii au</w:t>
      </w:r>
      <w:r w:rsidRPr="00060BB0">
        <w:rPr>
          <w:sz w:val="28"/>
          <w:szCs w:val="28"/>
          <w:lang w:val="ro-RO"/>
        </w:rPr>
        <w:t xml:space="preserve"> fost consultaţi referitor la modalitatea de asigurare de către CNAJGS a instruirii continue a avocaţilor care acordă asistenţă juridică garantată de stat.</w:t>
      </w:r>
      <w:r>
        <w:rPr>
          <w:sz w:val="28"/>
          <w:szCs w:val="28"/>
          <w:lang w:val="ro-RO"/>
        </w:rPr>
        <w:t xml:space="preserve"> În chestionar au fost oferite mai multe opţiuni de răspuns, cu posibilitatea de a alege mai multe opţiuni. Avocaţii cunosc faptul că există multiple oportunităţi de a asigura activităţile de instruire continuă prin intermediul sau cu implicarea unor parteneri de dezvoltare, inclusiv ONG-uri, organizaţii internaţionale şi donatori. Astfel, 60 % dintre avocaţii respondenţi la chestionar au indicat o asemenea opţiune, 59 % indicând şi opţiunea implicării resurselor umane şi financiare ale CNAJGS (bugetul de stat). 37 % dintre respondenţii la chestionar consideră oportună şi implicarea resurselor umane şi financiare ale Institutului Naţional al Justiţiei, 35 % dintre respondenţi considerând că ar putea fi implicate şi resursele umane şi financiare ale Uniunii Avocaţilor.</w:t>
      </w:r>
      <w:r w:rsidR="006A7850">
        <w:rPr>
          <w:sz w:val="28"/>
          <w:szCs w:val="28"/>
          <w:lang w:val="ro-RO"/>
        </w:rPr>
        <w:t xml:space="preserve"> Se pare că avocaţii nu susţin ideea </w:t>
      </w:r>
      <w:r w:rsidR="006A7850">
        <w:rPr>
          <w:sz w:val="28"/>
          <w:szCs w:val="28"/>
          <w:lang w:val="ro-RO"/>
        </w:rPr>
        <w:lastRenderedPageBreak/>
        <w:t xml:space="preserve">procurării de servicii de la instituţii prestatoare de servicii de instruire. Astfel, doar 13 % consideră oportună cumpărarea serviciilor de instruire de la ONG-uri, organizaţii internaţionale şi donatori, câte 11 % au menţionat ca oportună cumpărarea serviciilor de instruire de la Uniunea Avocaţilor şi de la universităţi. </w:t>
      </w:r>
      <w:r w:rsidR="006A7850" w:rsidRPr="00155501">
        <w:rPr>
          <w:b/>
          <w:i/>
          <w:sz w:val="28"/>
          <w:szCs w:val="28"/>
          <w:lang w:val="ro-RO"/>
        </w:rPr>
        <w:t>Doar 9 % consideră a fi oportună cumpărarea serviciilor de instruire de la Institutul Naţional al Justiţiei şi doar 6 % susţin oportunitatea cumpărării serviciilor de la companii private</w:t>
      </w:r>
      <w:r w:rsidR="006A7850">
        <w:rPr>
          <w:sz w:val="28"/>
          <w:szCs w:val="28"/>
          <w:lang w:val="ro-RO"/>
        </w:rPr>
        <w:t xml:space="preserve">. În cadrul focus grupurilor şi a interviurilor individuale s-a menţionat că este important ca atât timp că există posibilitate de a beneficia de susţinere din partea unor instituţii, în contextul în care resursele financiare disponibile pentru instruire sunt limitate, CNAJGS urmează să valorifice la maxim ofertele disponibile din partea partenerilor de dezvoltare. În eventualitatea în care ar fi disponibile resurse pentru a procura servicii de instruire de la anumite instituţii, s-a menţionat că acestea trebuie să fie credibile şi „să aplice metode noi”. </w:t>
      </w:r>
    </w:p>
    <w:p w:rsidR="0080659E" w:rsidRDefault="0080659E" w:rsidP="00060BB0">
      <w:pPr>
        <w:jc w:val="both"/>
        <w:rPr>
          <w:sz w:val="28"/>
          <w:szCs w:val="28"/>
          <w:lang w:val="ro-RO"/>
        </w:rPr>
      </w:pPr>
    </w:p>
    <w:p w:rsidR="00AD024D" w:rsidRDefault="006A7850" w:rsidP="00060BB0">
      <w:pPr>
        <w:jc w:val="both"/>
        <w:rPr>
          <w:sz w:val="28"/>
          <w:szCs w:val="28"/>
          <w:lang w:val="ro-RO"/>
        </w:rPr>
      </w:pPr>
      <w:r>
        <w:rPr>
          <w:sz w:val="28"/>
          <w:szCs w:val="28"/>
          <w:lang w:val="ro-RO"/>
        </w:rPr>
        <w:t xml:space="preserve">Astfel, este cert că în abordarea sa, CNAJGS trebuie să ia în calcul diversitatea partenerilor de dezvoltare care pot oferi servicii </w:t>
      </w:r>
      <w:r w:rsidR="0080659E">
        <w:rPr>
          <w:sz w:val="28"/>
          <w:szCs w:val="28"/>
          <w:lang w:val="ro-RO"/>
        </w:rPr>
        <w:t xml:space="preserve">calitative </w:t>
      </w:r>
      <w:r>
        <w:rPr>
          <w:sz w:val="28"/>
          <w:szCs w:val="28"/>
          <w:lang w:val="ro-RO"/>
        </w:rPr>
        <w:t xml:space="preserve">de instruire continuă a avocaţilor care acordă asistenţă juridică garantată de stat. Probabil, CNAJGS trebuie să determine mai întâi necesităţile de instruire pe care le au avocaţii care acordă asistenţă juridică garantată de stat, ulterior să identifice care ar fi partenerii de dezvoltare interesaţi în oferirea unor anumite instruiri şi în măsura </w:t>
      </w:r>
      <w:r w:rsidR="0080659E">
        <w:rPr>
          <w:sz w:val="28"/>
          <w:szCs w:val="28"/>
          <w:lang w:val="ro-RO"/>
        </w:rPr>
        <w:t>în care subiectele nu sunt acoperite prin instruirile oferite de către partenerii de dezvoltare să implice resursele umane şi financiare ale CNAJGS, Institutului Naţional al Justiţiei şi Uniunii Avocaţilor.</w:t>
      </w:r>
    </w:p>
    <w:p w:rsidR="006A7850" w:rsidRDefault="006A7850" w:rsidP="00060BB0">
      <w:pPr>
        <w:jc w:val="both"/>
        <w:rPr>
          <w:sz w:val="28"/>
          <w:szCs w:val="28"/>
          <w:lang w:val="ro-RO"/>
        </w:rPr>
      </w:pPr>
    </w:p>
    <w:p w:rsidR="00E80127" w:rsidRDefault="00E80127" w:rsidP="002920A2">
      <w:pPr>
        <w:rPr>
          <w:lang w:val="ro-RO"/>
        </w:rPr>
      </w:pPr>
    </w:p>
    <w:p w:rsidR="002920A2" w:rsidRPr="00E80127" w:rsidRDefault="002920A2" w:rsidP="00E80127">
      <w:pPr>
        <w:jc w:val="center"/>
        <w:rPr>
          <w:i/>
          <w:lang w:val="ro-RO"/>
        </w:rPr>
      </w:pPr>
      <w:r w:rsidRPr="00050D68">
        <w:rPr>
          <w:i/>
          <w:lang w:val="ro-RO"/>
        </w:rPr>
        <w:t xml:space="preserve">La </w:t>
      </w:r>
      <w:r w:rsidRPr="00050D68">
        <w:rPr>
          <w:b/>
          <w:bCs/>
          <w:i/>
          <w:u w:val="single"/>
          <w:lang w:val="ro-RO"/>
        </w:rPr>
        <w:t>identificarea</w:t>
      </w:r>
      <w:r w:rsidRPr="00E80127">
        <w:rPr>
          <w:b/>
          <w:bCs/>
          <w:i/>
          <w:lang w:val="ro-RO"/>
        </w:rPr>
        <w:t xml:space="preserve"> formatorilor</w:t>
      </w:r>
      <w:r w:rsidRPr="00E80127">
        <w:rPr>
          <w:i/>
          <w:lang w:val="ro-RO"/>
        </w:rPr>
        <w:t xml:space="preserve"> care participă la instruirea continuă a avoca</w:t>
      </w:r>
      <w:r w:rsidRPr="00E80127">
        <w:rPr>
          <w:rFonts w:hAnsi="Tahoma" w:cs="Tahoma"/>
          <w:i/>
          <w:lang w:val="ro-RO"/>
        </w:rPr>
        <w:t>ţ</w:t>
      </w:r>
      <w:r w:rsidRPr="00E80127">
        <w:rPr>
          <w:i/>
          <w:lang w:val="ro-RO"/>
        </w:rPr>
        <w:t xml:space="preserve">ilor care acordă AJGS trebuie să se ţină cont de următoarele criterii </w:t>
      </w:r>
      <w:r w:rsidRPr="00E80127">
        <w:rPr>
          <w:i/>
          <w:iCs/>
          <w:lang w:val="ro-RO"/>
        </w:rPr>
        <w:t>(pute</w:t>
      </w:r>
      <w:r w:rsidRPr="00E80127">
        <w:rPr>
          <w:rFonts w:hAnsi="Tahoma" w:cs="Tahoma"/>
          <w:i/>
          <w:iCs/>
          <w:lang w:val="ro-RO"/>
        </w:rPr>
        <w:t>ţ</w:t>
      </w:r>
      <w:r w:rsidRPr="00E80127">
        <w:rPr>
          <w:i/>
          <w:iCs/>
          <w:lang w:val="ro-RO"/>
        </w:rPr>
        <w:t>i alege mai multe op</w:t>
      </w:r>
      <w:r w:rsidRPr="00E80127">
        <w:rPr>
          <w:rFonts w:hAnsi="Tahoma" w:cs="Tahoma"/>
          <w:i/>
          <w:iCs/>
          <w:lang w:val="ro-RO"/>
        </w:rPr>
        <w:t>ţ</w:t>
      </w:r>
      <w:r w:rsidRPr="00E80127">
        <w:rPr>
          <w:i/>
          <w:iCs/>
          <w:lang w:val="ro-RO"/>
        </w:rPr>
        <w:t>iuni)</w:t>
      </w:r>
      <w:r w:rsidRPr="00E80127">
        <w:rPr>
          <w:i/>
          <w:lang w:val="ro-RO"/>
        </w:rPr>
        <w:t>:</w:t>
      </w:r>
    </w:p>
    <w:p w:rsidR="002920A2" w:rsidRDefault="002920A2" w:rsidP="002920A2">
      <w:pPr>
        <w:rPr>
          <w:lang w:val="ro-RO"/>
        </w:rPr>
      </w:pPr>
    </w:p>
    <w:p w:rsidR="002920A2" w:rsidRDefault="00C43127" w:rsidP="002920A2">
      <w:pPr>
        <w:jc w:val="center"/>
        <w:rPr>
          <w:lang w:val="ro-RO"/>
        </w:rPr>
      </w:pPr>
      <w:r>
        <w:rPr>
          <w:noProof/>
        </w:rPr>
        <w:drawing>
          <wp:inline distT="0" distB="0" distL="0" distR="0">
            <wp:extent cx="5743575" cy="3114675"/>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80127" w:rsidRDefault="00E80127" w:rsidP="00E80127">
      <w:pPr>
        <w:jc w:val="both"/>
        <w:rPr>
          <w:sz w:val="28"/>
          <w:szCs w:val="28"/>
          <w:lang w:val="ro-RO"/>
        </w:rPr>
      </w:pPr>
      <w:r w:rsidRPr="00050D68">
        <w:rPr>
          <w:sz w:val="28"/>
          <w:szCs w:val="28"/>
          <w:lang w:val="ro-RO"/>
        </w:rPr>
        <w:lastRenderedPageBreak/>
        <w:t xml:space="preserve">Eficienţa activităţii de instruire </w:t>
      </w:r>
      <w:r w:rsidR="00362B71" w:rsidRPr="00050D68">
        <w:rPr>
          <w:sz w:val="28"/>
          <w:szCs w:val="28"/>
          <w:lang w:val="ro-RO"/>
        </w:rPr>
        <w:t xml:space="preserve">şi atingerea obiectivelor educaţionale </w:t>
      </w:r>
      <w:r w:rsidRPr="00050D68">
        <w:rPr>
          <w:sz w:val="28"/>
          <w:szCs w:val="28"/>
          <w:lang w:val="ro-RO"/>
        </w:rPr>
        <w:t>depinde la direct de calitatea celor care oferă serviciile de instruire – formatorii. Avocaţii respondenţi la chestionar au menţionat că formatorii trebuie să întrunească următoarele</w:t>
      </w:r>
      <w:r>
        <w:rPr>
          <w:sz w:val="28"/>
          <w:szCs w:val="28"/>
          <w:lang w:val="ro-RO"/>
        </w:rPr>
        <w:t xml:space="preserve"> cerinţe:</w:t>
      </w:r>
    </w:p>
    <w:p w:rsidR="00E80127" w:rsidRDefault="00E80127" w:rsidP="00E80127">
      <w:pPr>
        <w:numPr>
          <w:ilvl w:val="0"/>
          <w:numId w:val="13"/>
        </w:numPr>
        <w:jc w:val="both"/>
        <w:rPr>
          <w:sz w:val="28"/>
          <w:szCs w:val="28"/>
          <w:lang w:val="ro-RO"/>
        </w:rPr>
      </w:pPr>
      <w:r>
        <w:rPr>
          <w:sz w:val="28"/>
          <w:szCs w:val="28"/>
          <w:lang w:val="ro-RO"/>
        </w:rPr>
        <w:t>experienţă de lucru în avocatură – 86 %;</w:t>
      </w:r>
    </w:p>
    <w:p w:rsidR="00E80127" w:rsidRDefault="00E80127" w:rsidP="00E80127">
      <w:pPr>
        <w:numPr>
          <w:ilvl w:val="0"/>
          <w:numId w:val="13"/>
        </w:numPr>
        <w:jc w:val="both"/>
        <w:rPr>
          <w:sz w:val="28"/>
          <w:szCs w:val="28"/>
          <w:lang w:val="ro-RO"/>
        </w:rPr>
      </w:pPr>
      <w:r>
        <w:rPr>
          <w:sz w:val="28"/>
          <w:szCs w:val="28"/>
          <w:lang w:val="ro-RO"/>
        </w:rPr>
        <w:t>experienţă de interacţiune cu sistemul de asistenţă juridică garantată de stat – 55 %;</w:t>
      </w:r>
    </w:p>
    <w:p w:rsidR="00E80127" w:rsidRDefault="00E80127" w:rsidP="00E80127">
      <w:pPr>
        <w:numPr>
          <w:ilvl w:val="0"/>
          <w:numId w:val="13"/>
        </w:numPr>
        <w:jc w:val="both"/>
        <w:rPr>
          <w:sz w:val="28"/>
          <w:szCs w:val="28"/>
          <w:lang w:val="ro-RO"/>
        </w:rPr>
      </w:pPr>
      <w:r>
        <w:rPr>
          <w:sz w:val="28"/>
          <w:szCs w:val="28"/>
          <w:lang w:val="ro-RO"/>
        </w:rPr>
        <w:t>experienţă în oferirea instruirii continue a avocaţilor -  53 %;</w:t>
      </w:r>
    </w:p>
    <w:p w:rsidR="00E80127" w:rsidRDefault="00E80127" w:rsidP="00E80127">
      <w:pPr>
        <w:numPr>
          <w:ilvl w:val="0"/>
          <w:numId w:val="13"/>
        </w:numPr>
        <w:jc w:val="both"/>
        <w:rPr>
          <w:sz w:val="28"/>
          <w:szCs w:val="28"/>
          <w:lang w:val="ro-RO"/>
        </w:rPr>
      </w:pPr>
      <w:r>
        <w:rPr>
          <w:sz w:val="28"/>
          <w:szCs w:val="28"/>
          <w:lang w:val="ro-RO"/>
        </w:rPr>
        <w:t>deţinerea gradului didactic – 23 %;</w:t>
      </w:r>
    </w:p>
    <w:p w:rsidR="00E80127" w:rsidRDefault="00E80127" w:rsidP="00E80127">
      <w:pPr>
        <w:numPr>
          <w:ilvl w:val="0"/>
          <w:numId w:val="13"/>
        </w:numPr>
        <w:jc w:val="both"/>
        <w:rPr>
          <w:sz w:val="28"/>
          <w:szCs w:val="28"/>
          <w:lang w:val="ro-RO"/>
        </w:rPr>
      </w:pPr>
      <w:r>
        <w:rPr>
          <w:sz w:val="28"/>
          <w:szCs w:val="28"/>
          <w:lang w:val="ro-RO"/>
        </w:rPr>
        <w:t>deţinerea gradului ştiinţific – 21 %.</w:t>
      </w:r>
    </w:p>
    <w:p w:rsidR="00050D68" w:rsidRDefault="00050D68" w:rsidP="00E80127">
      <w:pPr>
        <w:jc w:val="both"/>
        <w:rPr>
          <w:sz w:val="28"/>
          <w:szCs w:val="28"/>
          <w:lang w:val="ro-RO"/>
        </w:rPr>
      </w:pPr>
    </w:p>
    <w:p w:rsidR="00E80127" w:rsidRDefault="00E80127" w:rsidP="00E80127">
      <w:pPr>
        <w:jc w:val="both"/>
        <w:rPr>
          <w:sz w:val="28"/>
          <w:szCs w:val="28"/>
          <w:lang w:val="ro-RO"/>
        </w:rPr>
      </w:pPr>
      <w:r>
        <w:rPr>
          <w:sz w:val="28"/>
          <w:szCs w:val="28"/>
          <w:lang w:val="ro-RO"/>
        </w:rPr>
        <w:t>Vârsta</w:t>
      </w:r>
      <w:r w:rsidR="00050D68">
        <w:rPr>
          <w:sz w:val="28"/>
          <w:szCs w:val="28"/>
          <w:lang w:val="ro-RO"/>
        </w:rPr>
        <w:t xml:space="preserve"> potenţialilor formatori</w:t>
      </w:r>
      <w:r>
        <w:rPr>
          <w:sz w:val="28"/>
          <w:szCs w:val="28"/>
          <w:lang w:val="ro-RO"/>
        </w:rPr>
        <w:t xml:space="preserve"> este văzută </w:t>
      </w:r>
      <w:r w:rsidR="00050D68">
        <w:rPr>
          <w:sz w:val="28"/>
          <w:szCs w:val="28"/>
          <w:lang w:val="ro-RO"/>
        </w:rPr>
        <w:t xml:space="preserve">drept </w:t>
      </w:r>
      <w:r>
        <w:rPr>
          <w:sz w:val="28"/>
          <w:szCs w:val="28"/>
          <w:lang w:val="ro-RO"/>
        </w:rPr>
        <w:t xml:space="preserve">un criteriu important doar de către 15 % dintre avocaţii respondenţi la chestionar. În cadrul interviurilor s-a reiterat că este important ca formatorii să fie „acceptaţi” de către cei care urmează instruire, or sunt importante nu doar criteriile formale, dar şi reputaţia avocatului şi </w:t>
      </w:r>
      <w:r w:rsidR="00D17A8F">
        <w:rPr>
          <w:sz w:val="28"/>
          <w:szCs w:val="28"/>
          <w:lang w:val="ro-RO"/>
        </w:rPr>
        <w:t>faptul dacă poate interacţiona c</w:t>
      </w:r>
      <w:r>
        <w:rPr>
          <w:sz w:val="28"/>
          <w:szCs w:val="28"/>
          <w:lang w:val="ro-RO"/>
        </w:rPr>
        <w:t xml:space="preserve">u cei instruiţi. Un avocat în cadrul interviurilor a declarat franc „nu </w:t>
      </w:r>
      <w:r w:rsidR="00D17A8F">
        <w:rPr>
          <w:sz w:val="28"/>
          <w:szCs w:val="28"/>
          <w:lang w:val="ro-RO"/>
        </w:rPr>
        <w:t>voi participa la instruiri la ca</w:t>
      </w:r>
      <w:r>
        <w:rPr>
          <w:sz w:val="28"/>
          <w:szCs w:val="28"/>
          <w:lang w:val="ro-RO"/>
        </w:rPr>
        <w:t>re aşa numiţii formatori sunt oameni care promovează idei aberante sau nu-s cu stimă din partea colegilor”.</w:t>
      </w:r>
    </w:p>
    <w:p w:rsidR="00E80127" w:rsidRDefault="00E80127" w:rsidP="00E80127">
      <w:pPr>
        <w:jc w:val="both"/>
        <w:rPr>
          <w:sz w:val="28"/>
          <w:szCs w:val="28"/>
          <w:lang w:val="ro-RO"/>
        </w:rPr>
      </w:pPr>
    </w:p>
    <w:p w:rsidR="00AD490E" w:rsidRDefault="00AD490E" w:rsidP="00AD490E">
      <w:pPr>
        <w:jc w:val="both"/>
        <w:rPr>
          <w:sz w:val="28"/>
          <w:szCs w:val="28"/>
          <w:lang w:val="ro-RO"/>
        </w:rPr>
      </w:pPr>
      <w:r>
        <w:rPr>
          <w:sz w:val="28"/>
          <w:szCs w:val="28"/>
          <w:lang w:val="ro-RO"/>
        </w:rPr>
        <w:t>Astfel, la identificarea formatorilor, CNAJGS urmează a lua în calcul în mod special:</w:t>
      </w:r>
      <w:r w:rsidRPr="00AD490E">
        <w:rPr>
          <w:sz w:val="28"/>
          <w:szCs w:val="28"/>
          <w:lang w:val="ro-RO"/>
        </w:rPr>
        <w:t xml:space="preserve"> </w:t>
      </w:r>
      <w:r>
        <w:rPr>
          <w:sz w:val="28"/>
          <w:szCs w:val="28"/>
          <w:lang w:val="ro-RO"/>
        </w:rPr>
        <w:t>experienţă de lucru în avocatură, experienţă de interacţiune cu sistemul de asistenţă juridică garantată de stat, experienţă în oferirea instruirii continue a avocaţilor, deţinerea titlului didactic şi a gradului ştiinţific.</w:t>
      </w:r>
    </w:p>
    <w:p w:rsidR="00E80127" w:rsidRDefault="00E80127" w:rsidP="002920A2">
      <w:pPr>
        <w:rPr>
          <w:rFonts w:hAnsi="Tahoma" w:cs="Tahoma"/>
          <w:lang w:val="ro-RO"/>
        </w:rPr>
      </w:pPr>
    </w:p>
    <w:p w:rsidR="002920A2" w:rsidRPr="00CC7542" w:rsidRDefault="002920A2" w:rsidP="007A7FF3">
      <w:pPr>
        <w:jc w:val="center"/>
        <w:rPr>
          <w:i/>
          <w:lang w:val="ro-RO"/>
        </w:rPr>
      </w:pPr>
      <w:r w:rsidRPr="00CC7542">
        <w:rPr>
          <w:i/>
          <w:lang w:val="ro-RO"/>
        </w:rPr>
        <w:t xml:space="preserve">Care </w:t>
      </w:r>
      <w:r w:rsidRPr="00CC7542">
        <w:rPr>
          <w:b/>
          <w:bCs/>
          <w:i/>
          <w:lang w:val="ro-RO"/>
        </w:rPr>
        <w:t>avocaţi</w:t>
      </w:r>
      <w:r w:rsidRPr="00CC7542">
        <w:rPr>
          <w:i/>
          <w:lang w:val="ro-RO"/>
        </w:rPr>
        <w:t xml:space="preserve"> </w:t>
      </w:r>
      <w:r w:rsidRPr="00CC7542">
        <w:rPr>
          <w:b/>
          <w:bCs/>
          <w:i/>
          <w:lang w:val="ro-RO"/>
        </w:rPr>
        <w:t>dintre cei care acordă AJGS</w:t>
      </w:r>
      <w:r w:rsidRPr="00CC7542">
        <w:rPr>
          <w:i/>
          <w:lang w:val="ro-RO"/>
        </w:rPr>
        <w:t xml:space="preserve"> ar trebui să aibă </w:t>
      </w:r>
      <w:r w:rsidRPr="00CC7542">
        <w:rPr>
          <w:b/>
          <w:bCs/>
          <w:i/>
          <w:lang w:val="ro-RO"/>
        </w:rPr>
        <w:t>obligaţia de a participa la orele de instruire continuă</w:t>
      </w:r>
      <w:r w:rsidRPr="00CC7542">
        <w:rPr>
          <w:i/>
          <w:lang w:val="ro-RO"/>
        </w:rPr>
        <w:t xml:space="preserve"> (</w:t>
      </w:r>
      <w:r w:rsidRPr="00CC7542">
        <w:rPr>
          <w:i/>
          <w:iCs/>
          <w:lang w:val="ro-RO"/>
        </w:rPr>
        <w:t>puteţi alege mai multe opţiuni</w:t>
      </w:r>
      <w:r w:rsidRPr="00CC7542">
        <w:rPr>
          <w:i/>
          <w:lang w:val="ro-RO"/>
        </w:rPr>
        <w:t>):</w:t>
      </w:r>
    </w:p>
    <w:p w:rsidR="002920A2" w:rsidRDefault="002920A2" w:rsidP="002920A2">
      <w:pPr>
        <w:rPr>
          <w:lang w:val="ro-RO"/>
        </w:rPr>
      </w:pPr>
    </w:p>
    <w:p w:rsidR="002920A2" w:rsidRDefault="00C43127" w:rsidP="002920A2">
      <w:pPr>
        <w:jc w:val="center"/>
        <w:rPr>
          <w:lang w:val="ro-RO"/>
        </w:rPr>
      </w:pPr>
      <w:r>
        <w:rPr>
          <w:noProof/>
        </w:rPr>
        <w:lastRenderedPageBreak/>
        <w:drawing>
          <wp:inline distT="0" distB="0" distL="0" distR="0">
            <wp:extent cx="6115050" cy="510540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920A2" w:rsidRDefault="002920A2" w:rsidP="002920A2">
      <w:pPr>
        <w:rPr>
          <w:lang w:val="ro-RO"/>
        </w:rPr>
      </w:pPr>
    </w:p>
    <w:p w:rsidR="00445A7F" w:rsidRPr="00445A7F" w:rsidRDefault="00AF70A4" w:rsidP="007D1B06">
      <w:pPr>
        <w:jc w:val="both"/>
        <w:rPr>
          <w:sz w:val="28"/>
          <w:szCs w:val="28"/>
          <w:lang w:val="ro-RO"/>
        </w:rPr>
      </w:pPr>
      <w:r w:rsidRPr="00AF70A4">
        <w:rPr>
          <w:sz w:val="28"/>
          <w:szCs w:val="28"/>
          <w:lang w:val="ro-RO"/>
        </w:rPr>
        <w:t xml:space="preserve">Avocaţii </w:t>
      </w:r>
      <w:r>
        <w:rPr>
          <w:sz w:val="28"/>
          <w:szCs w:val="28"/>
          <w:lang w:val="ro-RO"/>
        </w:rPr>
        <w:t>participanţi la cercetare au fost întrebaţi referitor la categoriile de avocaţi care ar trebui s</w:t>
      </w:r>
      <w:r w:rsidR="00A13349">
        <w:rPr>
          <w:sz w:val="28"/>
          <w:szCs w:val="28"/>
          <w:lang w:val="ro-RO"/>
        </w:rPr>
        <w:t>ă urmeze obligatoriu activităţi</w:t>
      </w:r>
      <w:r>
        <w:rPr>
          <w:sz w:val="28"/>
          <w:szCs w:val="28"/>
          <w:lang w:val="ro-RO"/>
        </w:rPr>
        <w:t xml:space="preserve"> de instruire continuă.</w:t>
      </w:r>
      <w:r w:rsidR="00DD070B">
        <w:rPr>
          <w:sz w:val="28"/>
          <w:szCs w:val="28"/>
          <w:lang w:val="ro-RO"/>
        </w:rPr>
        <w:t xml:space="preserve"> Astfel, </w:t>
      </w:r>
      <w:r w:rsidR="00A13349">
        <w:rPr>
          <w:sz w:val="28"/>
          <w:szCs w:val="28"/>
          <w:lang w:val="ro-RO"/>
        </w:rPr>
        <w:t xml:space="preserve">în opinia </w:t>
      </w:r>
      <w:r w:rsidR="00AD2C13">
        <w:rPr>
          <w:sz w:val="28"/>
          <w:szCs w:val="28"/>
          <w:lang w:val="ro-RO"/>
        </w:rPr>
        <w:t xml:space="preserve">avocaţilor </w:t>
      </w:r>
      <w:r w:rsidR="00A13349">
        <w:rPr>
          <w:sz w:val="28"/>
          <w:szCs w:val="28"/>
          <w:lang w:val="ro-RO"/>
        </w:rPr>
        <w:t xml:space="preserve">respondenţilor la chestionar, </w:t>
      </w:r>
      <w:r w:rsidR="00DD070B">
        <w:rPr>
          <w:sz w:val="28"/>
          <w:szCs w:val="28"/>
          <w:lang w:val="ro-RO"/>
        </w:rPr>
        <w:t xml:space="preserve">ar </w:t>
      </w:r>
      <w:r w:rsidR="00DD070B" w:rsidRPr="00445A7F">
        <w:rPr>
          <w:sz w:val="28"/>
          <w:szCs w:val="28"/>
          <w:lang w:val="ro-RO"/>
        </w:rPr>
        <w:t xml:space="preserve">trebui să urmeze </w:t>
      </w:r>
      <w:r w:rsidR="00A40AF0">
        <w:rPr>
          <w:sz w:val="28"/>
          <w:szCs w:val="28"/>
          <w:lang w:val="ro-RO"/>
        </w:rPr>
        <w:t xml:space="preserve">obligatoriu cursuri de </w:t>
      </w:r>
      <w:r w:rsidR="00DD070B" w:rsidRPr="00445A7F">
        <w:rPr>
          <w:sz w:val="28"/>
          <w:szCs w:val="28"/>
          <w:lang w:val="ro-RO"/>
        </w:rPr>
        <w:t>instruire continuă:</w:t>
      </w:r>
      <w:r w:rsidR="007D1B06">
        <w:rPr>
          <w:sz w:val="28"/>
          <w:szCs w:val="28"/>
          <w:lang w:val="ro-RO"/>
        </w:rPr>
        <w:t xml:space="preserve"> </w:t>
      </w:r>
      <w:r w:rsidR="00DD070B" w:rsidRPr="00445A7F">
        <w:rPr>
          <w:sz w:val="28"/>
          <w:szCs w:val="28"/>
          <w:lang w:val="ro-RO"/>
        </w:rPr>
        <w:t xml:space="preserve">toţi avocaţii care acordă asistenţă juridică garantată de stat </w:t>
      </w:r>
      <w:r w:rsidR="007D1B06">
        <w:rPr>
          <w:sz w:val="28"/>
          <w:szCs w:val="28"/>
          <w:lang w:val="ro-RO"/>
        </w:rPr>
        <w:t>(</w:t>
      </w:r>
      <w:r w:rsidR="00DD070B" w:rsidRPr="00445A7F">
        <w:rPr>
          <w:sz w:val="28"/>
          <w:szCs w:val="28"/>
          <w:lang w:val="ro-RO"/>
        </w:rPr>
        <w:t>36 %</w:t>
      </w:r>
      <w:r w:rsidR="007D1B06">
        <w:rPr>
          <w:sz w:val="28"/>
          <w:szCs w:val="28"/>
          <w:lang w:val="ro-RO"/>
        </w:rPr>
        <w:t xml:space="preserve">), </w:t>
      </w:r>
      <w:r w:rsidR="00445A7F" w:rsidRPr="00445A7F">
        <w:rPr>
          <w:sz w:val="28"/>
          <w:szCs w:val="28"/>
          <w:lang w:val="ro-RO"/>
        </w:rPr>
        <w:t xml:space="preserve">instruirea continuă nu trebuie să fie obligatorie pentru avocaţi  </w:t>
      </w:r>
      <w:r w:rsidR="00445A7F" w:rsidRPr="00445A7F">
        <w:rPr>
          <w:rFonts w:hAnsi="Tahoma"/>
          <w:sz w:val="28"/>
          <w:szCs w:val="28"/>
          <w:lang w:val="ro-RO"/>
        </w:rPr>
        <w:t>ș</w:t>
      </w:r>
      <w:r w:rsidR="00445A7F" w:rsidRPr="00445A7F">
        <w:rPr>
          <w:sz w:val="28"/>
          <w:szCs w:val="28"/>
          <w:lang w:val="ro-RO"/>
        </w:rPr>
        <w:t>i fiecare se înscrie doar dacă dore</w:t>
      </w:r>
      <w:r w:rsidR="00445A7F" w:rsidRPr="00445A7F">
        <w:rPr>
          <w:rFonts w:hAnsi="Tahoma"/>
          <w:sz w:val="28"/>
          <w:szCs w:val="28"/>
          <w:lang w:val="ro-RO"/>
        </w:rPr>
        <w:t>ș</w:t>
      </w:r>
      <w:r w:rsidR="00445A7F" w:rsidRPr="00445A7F">
        <w:rPr>
          <w:sz w:val="28"/>
          <w:szCs w:val="28"/>
          <w:lang w:val="ro-RO"/>
        </w:rPr>
        <w:t xml:space="preserve">te </w:t>
      </w:r>
      <w:r w:rsidR="007D1B06">
        <w:rPr>
          <w:sz w:val="28"/>
          <w:szCs w:val="28"/>
          <w:lang w:val="ro-RO"/>
        </w:rPr>
        <w:t>(</w:t>
      </w:r>
      <w:r w:rsidR="00445A7F" w:rsidRPr="00445A7F">
        <w:rPr>
          <w:sz w:val="28"/>
          <w:szCs w:val="28"/>
          <w:lang w:val="ro-RO"/>
        </w:rPr>
        <w:t>33 %</w:t>
      </w:r>
      <w:r w:rsidR="007D1B06">
        <w:rPr>
          <w:sz w:val="28"/>
          <w:szCs w:val="28"/>
          <w:lang w:val="ro-RO"/>
        </w:rPr>
        <w:t xml:space="preserve">), </w:t>
      </w:r>
      <w:r w:rsidR="00445A7F" w:rsidRPr="00445A7F">
        <w:rPr>
          <w:sz w:val="28"/>
          <w:szCs w:val="28"/>
          <w:lang w:val="ro-RO"/>
        </w:rPr>
        <w:t>toţi avocaţii, inclusiv cei care acordă asisten</w:t>
      </w:r>
      <w:r w:rsidR="00445A7F" w:rsidRPr="00445A7F">
        <w:rPr>
          <w:rFonts w:hAnsi="Tahoma"/>
          <w:sz w:val="28"/>
          <w:szCs w:val="28"/>
          <w:lang w:val="ro-RO"/>
        </w:rPr>
        <w:t>ț</w:t>
      </w:r>
      <w:r w:rsidR="00445A7F" w:rsidRPr="00445A7F">
        <w:rPr>
          <w:sz w:val="28"/>
          <w:szCs w:val="28"/>
          <w:lang w:val="ro-RO"/>
        </w:rPr>
        <w:t xml:space="preserve">ă juridică garantată de stat </w:t>
      </w:r>
      <w:r w:rsidR="007D1B06">
        <w:rPr>
          <w:sz w:val="28"/>
          <w:szCs w:val="28"/>
          <w:lang w:val="ro-RO"/>
        </w:rPr>
        <w:t>(</w:t>
      </w:r>
      <w:r w:rsidR="00445A7F" w:rsidRPr="00445A7F">
        <w:rPr>
          <w:sz w:val="28"/>
          <w:szCs w:val="28"/>
          <w:lang w:val="ro-RO"/>
        </w:rPr>
        <w:t>24 %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ii cu experien</w:t>
      </w:r>
      <w:r w:rsidR="00445A7F" w:rsidRPr="00445A7F">
        <w:rPr>
          <w:rFonts w:hAnsi="Tahoma"/>
          <w:sz w:val="28"/>
          <w:szCs w:val="28"/>
          <w:lang w:val="ro-RO"/>
        </w:rPr>
        <w:t>ț</w:t>
      </w:r>
      <w:r w:rsidR="00445A7F" w:rsidRPr="00445A7F">
        <w:rPr>
          <w:sz w:val="28"/>
          <w:szCs w:val="28"/>
          <w:lang w:val="ro-RO"/>
        </w:rPr>
        <w:t xml:space="preserve">ă profesională mai mică de 3 ani </w:t>
      </w:r>
      <w:r w:rsidR="007D1B06">
        <w:rPr>
          <w:sz w:val="28"/>
          <w:szCs w:val="28"/>
          <w:lang w:val="ro-RO"/>
        </w:rPr>
        <w:t>(</w:t>
      </w:r>
      <w:r w:rsidR="00445A7F" w:rsidRPr="00445A7F">
        <w:rPr>
          <w:sz w:val="28"/>
          <w:szCs w:val="28"/>
          <w:lang w:val="ro-RO"/>
        </w:rPr>
        <w:t>14 %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ii în privin</w:t>
      </w:r>
      <w:r w:rsidR="00445A7F" w:rsidRPr="00445A7F">
        <w:rPr>
          <w:rFonts w:hAnsi="Tahoma"/>
          <w:sz w:val="28"/>
          <w:szCs w:val="28"/>
          <w:lang w:val="ro-RO"/>
        </w:rPr>
        <w:t>ț</w:t>
      </w:r>
      <w:r w:rsidR="00445A7F" w:rsidRPr="00445A7F">
        <w:rPr>
          <w:sz w:val="28"/>
          <w:szCs w:val="28"/>
          <w:lang w:val="ro-RO"/>
        </w:rPr>
        <w:t>a cărora s-au depistat deficien</w:t>
      </w:r>
      <w:r w:rsidR="00445A7F" w:rsidRPr="00445A7F">
        <w:rPr>
          <w:rFonts w:hAnsi="Tahoma"/>
          <w:sz w:val="28"/>
          <w:szCs w:val="28"/>
          <w:lang w:val="ro-RO"/>
        </w:rPr>
        <w:t>ț</w:t>
      </w:r>
      <w:r w:rsidR="00445A7F" w:rsidRPr="00445A7F">
        <w:rPr>
          <w:sz w:val="28"/>
          <w:szCs w:val="28"/>
          <w:lang w:val="ro-RO"/>
        </w:rPr>
        <w:t>e de activitate în procesul de monitorizare a calită</w:t>
      </w:r>
      <w:r w:rsidR="00445A7F" w:rsidRPr="00445A7F">
        <w:rPr>
          <w:rFonts w:hAnsi="Tahoma"/>
          <w:sz w:val="28"/>
          <w:szCs w:val="28"/>
          <w:lang w:val="ro-RO"/>
        </w:rPr>
        <w:t>ț</w:t>
      </w:r>
      <w:r w:rsidR="00445A7F" w:rsidRPr="00445A7F">
        <w:rPr>
          <w:sz w:val="28"/>
          <w:szCs w:val="28"/>
          <w:lang w:val="ro-RO"/>
        </w:rPr>
        <w:t xml:space="preserve">ii AJGS acordate </w:t>
      </w:r>
      <w:r w:rsidR="007D1B06">
        <w:rPr>
          <w:sz w:val="28"/>
          <w:szCs w:val="28"/>
          <w:lang w:val="ro-RO"/>
        </w:rPr>
        <w:t>(</w:t>
      </w:r>
      <w:r w:rsidR="00445A7F" w:rsidRPr="00445A7F">
        <w:rPr>
          <w:sz w:val="28"/>
          <w:szCs w:val="28"/>
          <w:lang w:val="ro-RO"/>
        </w:rPr>
        <w:t>11 %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ii în privin</w:t>
      </w:r>
      <w:r w:rsidR="00445A7F" w:rsidRPr="00445A7F">
        <w:rPr>
          <w:rFonts w:hAnsi="Tahoma"/>
          <w:sz w:val="28"/>
          <w:szCs w:val="28"/>
          <w:lang w:val="ro-RO"/>
        </w:rPr>
        <w:t>ț</w:t>
      </w:r>
      <w:r w:rsidR="00445A7F" w:rsidRPr="00445A7F">
        <w:rPr>
          <w:sz w:val="28"/>
          <w:szCs w:val="28"/>
          <w:lang w:val="ro-RO"/>
        </w:rPr>
        <w:t xml:space="preserve">a cărora există plângeri la OT ale CNAJGS, UA, CNAJGS sau alte instituţii </w:t>
      </w:r>
      <w:r w:rsidR="007D1B06">
        <w:rPr>
          <w:sz w:val="28"/>
          <w:szCs w:val="28"/>
          <w:lang w:val="ro-RO"/>
        </w:rPr>
        <w:t>(</w:t>
      </w:r>
      <w:r w:rsidR="00445A7F" w:rsidRPr="00445A7F">
        <w:rPr>
          <w:sz w:val="28"/>
          <w:szCs w:val="28"/>
          <w:lang w:val="ro-RO"/>
        </w:rPr>
        <w:t>7 %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ii cu experien</w:t>
      </w:r>
      <w:r w:rsidR="00445A7F" w:rsidRPr="00445A7F">
        <w:rPr>
          <w:rFonts w:hAnsi="Tahoma"/>
          <w:sz w:val="28"/>
          <w:szCs w:val="28"/>
          <w:lang w:val="ro-RO"/>
        </w:rPr>
        <w:t>ț</w:t>
      </w:r>
      <w:r w:rsidR="00445A7F" w:rsidRPr="00445A7F">
        <w:rPr>
          <w:sz w:val="28"/>
          <w:szCs w:val="28"/>
          <w:lang w:val="ro-RO"/>
        </w:rPr>
        <w:t xml:space="preserve">ă profesională mai mică de 5 ani </w:t>
      </w:r>
      <w:r w:rsidR="007D1B06">
        <w:rPr>
          <w:sz w:val="28"/>
          <w:szCs w:val="28"/>
          <w:lang w:val="ro-RO"/>
        </w:rPr>
        <w:t>(</w:t>
      </w:r>
      <w:r w:rsidR="00445A7F" w:rsidRPr="00445A7F">
        <w:rPr>
          <w:sz w:val="28"/>
          <w:szCs w:val="28"/>
          <w:lang w:val="ro-RO"/>
        </w:rPr>
        <w:t>5 %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 xml:space="preserve">ii care au absolvit instituţia de învăţământ cu mai mult de 20 ani în urmă </w:t>
      </w:r>
      <w:r w:rsidR="007D1B06">
        <w:rPr>
          <w:sz w:val="28"/>
          <w:szCs w:val="28"/>
          <w:lang w:val="ro-RO"/>
        </w:rPr>
        <w:t>(</w:t>
      </w:r>
      <w:r w:rsidR="00445A7F" w:rsidRPr="00445A7F">
        <w:rPr>
          <w:sz w:val="28"/>
          <w:szCs w:val="28"/>
          <w:lang w:val="ro-RO"/>
        </w:rPr>
        <w:t>4 %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ii cu experien</w:t>
      </w:r>
      <w:r w:rsidR="00445A7F" w:rsidRPr="00445A7F">
        <w:rPr>
          <w:rFonts w:hAnsi="Tahoma"/>
          <w:sz w:val="28"/>
          <w:szCs w:val="28"/>
          <w:lang w:val="ro-RO"/>
        </w:rPr>
        <w:t>ț</w:t>
      </w:r>
      <w:r w:rsidR="00445A7F" w:rsidRPr="00445A7F">
        <w:rPr>
          <w:sz w:val="28"/>
          <w:szCs w:val="28"/>
          <w:lang w:val="ro-RO"/>
        </w:rPr>
        <w:t xml:space="preserve">ă profesională mai mică de 10 ani </w:t>
      </w:r>
      <w:r w:rsidR="007D1B06">
        <w:rPr>
          <w:sz w:val="28"/>
          <w:szCs w:val="28"/>
          <w:lang w:val="ro-RO"/>
        </w:rPr>
        <w:t>(</w:t>
      </w:r>
      <w:r w:rsidR="00445A7F" w:rsidRPr="00445A7F">
        <w:rPr>
          <w:sz w:val="28"/>
          <w:szCs w:val="28"/>
          <w:lang w:val="ro-RO"/>
        </w:rPr>
        <w:t>2 %</w:t>
      </w:r>
      <w:r w:rsidR="007D1B06">
        <w:rPr>
          <w:sz w:val="28"/>
          <w:szCs w:val="28"/>
          <w:lang w:val="ro-RO"/>
        </w:rPr>
        <w:t xml:space="preserve">), </w:t>
      </w:r>
      <w:r w:rsidR="00445A7F" w:rsidRPr="00445A7F">
        <w:rPr>
          <w:sz w:val="28"/>
          <w:szCs w:val="28"/>
          <w:lang w:val="ro-RO"/>
        </w:rPr>
        <w:t>avoca</w:t>
      </w:r>
      <w:r w:rsidR="00445A7F" w:rsidRPr="00445A7F">
        <w:rPr>
          <w:rFonts w:hAnsi="Tahoma"/>
          <w:sz w:val="28"/>
          <w:szCs w:val="28"/>
          <w:lang w:val="ro-RO"/>
        </w:rPr>
        <w:t>ț</w:t>
      </w:r>
      <w:r w:rsidR="00445A7F" w:rsidRPr="00445A7F">
        <w:rPr>
          <w:sz w:val="28"/>
          <w:szCs w:val="28"/>
          <w:lang w:val="ro-RO"/>
        </w:rPr>
        <w:t xml:space="preserve">ii care au absolvit instituţia de învăţământ cu mai mult de 10 ani în urmă </w:t>
      </w:r>
      <w:r w:rsidR="007D1B06">
        <w:rPr>
          <w:sz w:val="28"/>
          <w:szCs w:val="28"/>
          <w:lang w:val="ro-RO"/>
        </w:rPr>
        <w:t>(</w:t>
      </w:r>
      <w:r w:rsidR="00445A7F" w:rsidRPr="00445A7F">
        <w:rPr>
          <w:sz w:val="28"/>
          <w:szCs w:val="28"/>
          <w:lang w:val="ro-RO"/>
        </w:rPr>
        <w:t>2 %</w:t>
      </w:r>
      <w:r w:rsidR="007D1B06">
        <w:rPr>
          <w:sz w:val="28"/>
          <w:szCs w:val="28"/>
          <w:lang w:val="ro-RO"/>
        </w:rPr>
        <w:t>)</w:t>
      </w:r>
      <w:r w:rsidR="00445A7F" w:rsidRPr="00445A7F">
        <w:rPr>
          <w:sz w:val="28"/>
          <w:szCs w:val="28"/>
          <w:lang w:val="ro-RO"/>
        </w:rPr>
        <w:t>.</w:t>
      </w:r>
    </w:p>
    <w:p w:rsidR="00CC7542" w:rsidRDefault="00CC7542" w:rsidP="00CC7542">
      <w:pPr>
        <w:jc w:val="both"/>
        <w:rPr>
          <w:sz w:val="28"/>
          <w:szCs w:val="28"/>
          <w:lang w:val="ro-RO"/>
        </w:rPr>
      </w:pPr>
    </w:p>
    <w:p w:rsidR="007A7FF3" w:rsidRPr="001073E0" w:rsidRDefault="00CC7542" w:rsidP="00CC7542">
      <w:pPr>
        <w:jc w:val="both"/>
        <w:rPr>
          <w:sz w:val="28"/>
          <w:szCs w:val="28"/>
          <w:lang w:val="ro-RO"/>
        </w:rPr>
      </w:pPr>
      <w:r>
        <w:rPr>
          <w:sz w:val="28"/>
          <w:szCs w:val="28"/>
          <w:lang w:val="ro-RO"/>
        </w:rPr>
        <w:t>În opinia noastră, luând în calcul dinamica reglementărilor normativ - juridice şi a practicii judiciare naţionale</w:t>
      </w:r>
      <w:r w:rsidR="001073E0" w:rsidRPr="001073E0">
        <w:rPr>
          <w:sz w:val="28"/>
          <w:szCs w:val="28"/>
          <w:lang w:val="ro-RO"/>
        </w:rPr>
        <w:t xml:space="preserve">, </w:t>
      </w:r>
      <w:r>
        <w:rPr>
          <w:sz w:val="28"/>
          <w:szCs w:val="28"/>
          <w:lang w:val="ro-RO"/>
        </w:rPr>
        <w:t xml:space="preserve">este cert că </w:t>
      </w:r>
      <w:r w:rsidRPr="00445A7F">
        <w:rPr>
          <w:sz w:val="28"/>
          <w:szCs w:val="28"/>
          <w:lang w:val="ro-RO"/>
        </w:rPr>
        <w:t>toţi avocaţii</w:t>
      </w:r>
      <w:r>
        <w:rPr>
          <w:sz w:val="28"/>
          <w:szCs w:val="28"/>
          <w:lang w:val="ro-RO"/>
        </w:rPr>
        <w:t>, inclusiv cei</w:t>
      </w:r>
      <w:r w:rsidRPr="00445A7F">
        <w:rPr>
          <w:sz w:val="28"/>
          <w:szCs w:val="28"/>
          <w:lang w:val="ro-RO"/>
        </w:rPr>
        <w:t xml:space="preserve"> care acordă asistenţă juridică garantată de stat</w:t>
      </w:r>
      <w:r>
        <w:rPr>
          <w:sz w:val="28"/>
          <w:szCs w:val="28"/>
          <w:lang w:val="ro-RO"/>
        </w:rPr>
        <w:t xml:space="preserve"> trebuie să urmeze </w:t>
      </w:r>
      <w:r w:rsidR="00AD2C13">
        <w:rPr>
          <w:sz w:val="28"/>
          <w:szCs w:val="28"/>
          <w:lang w:val="ro-RO"/>
        </w:rPr>
        <w:t xml:space="preserve">cursuri de </w:t>
      </w:r>
      <w:r>
        <w:rPr>
          <w:sz w:val="28"/>
          <w:szCs w:val="28"/>
          <w:lang w:val="ro-RO"/>
        </w:rPr>
        <w:t xml:space="preserve">instruire continuă, </w:t>
      </w:r>
      <w:r>
        <w:rPr>
          <w:sz w:val="28"/>
          <w:szCs w:val="28"/>
          <w:lang w:val="ro-RO"/>
        </w:rPr>
        <w:lastRenderedPageBreak/>
        <w:t>totodată instruirea trebuie organizată astfel, încât avocaţii să înţeleagă şi să fie motivaţi a urma cursurile de instruire continuă.</w:t>
      </w:r>
    </w:p>
    <w:p w:rsidR="007A7FF3" w:rsidRDefault="007A7FF3" w:rsidP="002920A2">
      <w:pPr>
        <w:rPr>
          <w:lang w:val="ro-RO"/>
        </w:rPr>
      </w:pPr>
    </w:p>
    <w:p w:rsidR="002920A2" w:rsidRPr="003F0110" w:rsidRDefault="002920A2" w:rsidP="003F0110">
      <w:pPr>
        <w:jc w:val="center"/>
        <w:rPr>
          <w:i/>
          <w:lang w:val="ro-RO"/>
        </w:rPr>
      </w:pPr>
      <w:r w:rsidRPr="003F0110">
        <w:rPr>
          <w:i/>
          <w:lang w:val="ro-RO"/>
        </w:rPr>
        <w:t xml:space="preserve">Care dintre </w:t>
      </w:r>
      <w:r w:rsidRPr="003F0110">
        <w:rPr>
          <w:b/>
          <w:bCs/>
          <w:i/>
          <w:lang w:val="ro-RO"/>
        </w:rPr>
        <w:t>domeniile</w:t>
      </w:r>
      <w:r w:rsidRPr="003F0110">
        <w:rPr>
          <w:i/>
          <w:lang w:val="ro-RO"/>
        </w:rPr>
        <w:t xml:space="preserve"> de mai jos ar fi </w:t>
      </w:r>
      <w:r w:rsidRPr="003F0110">
        <w:rPr>
          <w:b/>
          <w:bCs/>
          <w:i/>
          <w:lang w:val="ro-RO"/>
        </w:rPr>
        <w:t>de interes pentru Dvs.</w:t>
      </w:r>
      <w:r w:rsidRPr="003F0110">
        <w:rPr>
          <w:i/>
          <w:lang w:val="ro-RO"/>
        </w:rPr>
        <w:t xml:space="preserve"> </w:t>
      </w:r>
      <w:r w:rsidRPr="003F0110">
        <w:rPr>
          <w:b/>
          <w:bCs/>
          <w:i/>
          <w:lang w:val="ro-RO"/>
        </w:rPr>
        <w:t>la orele de instruire continuă</w:t>
      </w:r>
      <w:r w:rsidRPr="003F0110">
        <w:rPr>
          <w:i/>
          <w:lang w:val="ro-RO"/>
        </w:rPr>
        <w:t xml:space="preserve"> în anul 2014 (</w:t>
      </w:r>
      <w:r w:rsidRPr="003F0110">
        <w:rPr>
          <w:i/>
          <w:iCs/>
          <w:lang w:val="ro-RO"/>
        </w:rPr>
        <w:t>puteţi alege mai multe opţiuni</w:t>
      </w:r>
      <w:r w:rsidRPr="003F0110">
        <w:rPr>
          <w:i/>
          <w:lang w:val="ro-RO"/>
        </w:rPr>
        <w:t>):</w:t>
      </w:r>
    </w:p>
    <w:p w:rsidR="002920A2" w:rsidRDefault="002920A2" w:rsidP="002920A2">
      <w:pPr>
        <w:rPr>
          <w:lang w:val="ro-RO"/>
        </w:rPr>
      </w:pPr>
    </w:p>
    <w:p w:rsidR="002920A2" w:rsidRDefault="00C43127" w:rsidP="002920A2">
      <w:pPr>
        <w:rPr>
          <w:lang w:val="ro-RO"/>
        </w:rPr>
      </w:pPr>
      <w:r>
        <w:rPr>
          <w:noProof/>
        </w:rPr>
        <w:drawing>
          <wp:inline distT="0" distB="0" distL="0" distR="0">
            <wp:extent cx="6229350" cy="5191125"/>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920A2" w:rsidRPr="003F6986" w:rsidRDefault="00035410" w:rsidP="003F6986">
      <w:pPr>
        <w:pStyle w:val="ListParagraph"/>
        <w:spacing w:before="0" w:after="0" w:line="240" w:lineRule="auto"/>
        <w:ind w:left="0"/>
        <w:rPr>
          <w:sz w:val="28"/>
          <w:szCs w:val="28"/>
          <w:lang w:val="ro-RO" w:eastAsia="ro-RO"/>
        </w:rPr>
      </w:pPr>
      <w:r w:rsidRPr="003F6986">
        <w:rPr>
          <w:sz w:val="28"/>
          <w:szCs w:val="28"/>
          <w:lang w:val="ro-RO" w:eastAsia="ro-RO"/>
        </w:rPr>
        <w:t xml:space="preserve">Avocaţii au fost întrebaţi referitor la </w:t>
      </w:r>
      <w:r w:rsidRPr="003F6986">
        <w:rPr>
          <w:b/>
          <w:sz w:val="28"/>
          <w:szCs w:val="28"/>
          <w:lang w:val="ro-RO" w:eastAsia="ro-RO"/>
        </w:rPr>
        <w:t>domeniile de interes</w:t>
      </w:r>
      <w:r w:rsidRPr="003F6986">
        <w:rPr>
          <w:sz w:val="28"/>
          <w:szCs w:val="28"/>
          <w:lang w:val="ro-RO" w:eastAsia="ro-RO"/>
        </w:rPr>
        <w:t xml:space="preserve"> </w:t>
      </w:r>
      <w:r w:rsidRPr="003F6986">
        <w:rPr>
          <w:b/>
          <w:sz w:val="28"/>
          <w:szCs w:val="28"/>
          <w:lang w:val="ro-RO" w:eastAsia="ro-RO"/>
        </w:rPr>
        <w:t xml:space="preserve">pentru </w:t>
      </w:r>
      <w:r w:rsidRPr="003F6986">
        <w:rPr>
          <w:b/>
          <w:bCs/>
          <w:sz w:val="28"/>
          <w:szCs w:val="28"/>
          <w:lang w:val="ro-RO"/>
        </w:rPr>
        <w:t>orele de instruire continuă</w:t>
      </w:r>
      <w:r w:rsidRPr="003F6986">
        <w:rPr>
          <w:b/>
          <w:sz w:val="28"/>
          <w:szCs w:val="28"/>
          <w:lang w:val="ro-RO"/>
        </w:rPr>
        <w:t xml:space="preserve"> în anul 2014</w:t>
      </w:r>
      <w:r w:rsidRPr="003F6986">
        <w:rPr>
          <w:sz w:val="28"/>
          <w:szCs w:val="28"/>
          <w:lang w:val="ro-RO"/>
        </w:rPr>
        <w:t>, având posibilitatea de a alege mai multe opţiuni. Avocaţii respondenţi la chestionar au indicat următoare</w:t>
      </w:r>
      <w:r w:rsidR="00CB6E1D" w:rsidRPr="003F6986">
        <w:rPr>
          <w:sz w:val="28"/>
          <w:szCs w:val="28"/>
          <w:lang w:val="ro-RO"/>
        </w:rPr>
        <w:t>le domenii</w:t>
      </w:r>
      <w:r w:rsidRPr="003F6986">
        <w:rPr>
          <w:sz w:val="28"/>
          <w:szCs w:val="28"/>
          <w:lang w:val="ro-RO"/>
        </w:rPr>
        <w:t xml:space="preserve">: </w:t>
      </w:r>
      <w:r w:rsidR="007D127B" w:rsidRPr="003F6986">
        <w:rPr>
          <w:sz w:val="28"/>
          <w:szCs w:val="28"/>
          <w:lang w:val="ro-RO" w:eastAsia="ro-RO"/>
        </w:rPr>
        <w:t xml:space="preserve">proprietatea </w:t>
      </w:r>
      <w:r w:rsidRPr="003F6986">
        <w:rPr>
          <w:sz w:val="28"/>
          <w:szCs w:val="28"/>
          <w:lang w:val="ro-RO" w:eastAsia="ro-RO"/>
        </w:rPr>
        <w:t>(</w:t>
      </w:r>
      <w:r w:rsidR="007D127B" w:rsidRPr="003F6986">
        <w:rPr>
          <w:sz w:val="28"/>
          <w:szCs w:val="28"/>
          <w:lang w:val="ro-RO" w:eastAsia="ro-RO"/>
        </w:rPr>
        <w:t>44 %</w:t>
      </w:r>
      <w:r w:rsidRPr="003F6986">
        <w:rPr>
          <w:sz w:val="28"/>
          <w:szCs w:val="28"/>
          <w:lang w:val="ro-RO" w:eastAsia="ro-RO"/>
        </w:rPr>
        <w:t xml:space="preserve">), </w:t>
      </w:r>
      <w:r w:rsidR="007D127B" w:rsidRPr="003F6986">
        <w:rPr>
          <w:sz w:val="28"/>
          <w:szCs w:val="28"/>
          <w:lang w:val="ro-RO" w:eastAsia="ro-RO"/>
        </w:rPr>
        <w:t xml:space="preserve">drept procesual civil </w:t>
      </w:r>
      <w:r w:rsidRPr="003F6986">
        <w:rPr>
          <w:sz w:val="28"/>
          <w:szCs w:val="28"/>
          <w:lang w:val="ro-RO" w:eastAsia="ro-RO"/>
        </w:rPr>
        <w:t>(</w:t>
      </w:r>
      <w:r w:rsidR="007D127B" w:rsidRPr="003F6986">
        <w:rPr>
          <w:sz w:val="28"/>
          <w:szCs w:val="28"/>
          <w:lang w:val="ro-RO" w:eastAsia="ro-RO"/>
        </w:rPr>
        <w:t>44 %</w:t>
      </w:r>
      <w:r w:rsidRPr="003F6986">
        <w:rPr>
          <w:sz w:val="28"/>
          <w:szCs w:val="28"/>
          <w:lang w:val="ro-RO" w:eastAsia="ro-RO"/>
        </w:rPr>
        <w:t xml:space="preserve">), </w:t>
      </w:r>
      <w:r w:rsidR="007D127B" w:rsidRPr="003F6986">
        <w:rPr>
          <w:sz w:val="28"/>
          <w:szCs w:val="28"/>
          <w:lang w:val="ro-RO" w:eastAsia="ro-RO"/>
        </w:rPr>
        <w:t xml:space="preserve">drept penal şi de procedură penală </w:t>
      </w:r>
      <w:r w:rsidRPr="003F6986">
        <w:rPr>
          <w:sz w:val="28"/>
          <w:szCs w:val="28"/>
          <w:lang w:val="ro-RO" w:eastAsia="ro-RO"/>
        </w:rPr>
        <w:t>(</w:t>
      </w:r>
      <w:r w:rsidR="007D127B" w:rsidRPr="003F6986">
        <w:rPr>
          <w:sz w:val="28"/>
          <w:szCs w:val="28"/>
          <w:lang w:val="ro-RO" w:eastAsia="ro-RO"/>
        </w:rPr>
        <w:t>37 %</w:t>
      </w:r>
      <w:r w:rsidRPr="003F6986">
        <w:rPr>
          <w:sz w:val="28"/>
          <w:szCs w:val="28"/>
          <w:lang w:val="ro-RO" w:eastAsia="ro-RO"/>
        </w:rPr>
        <w:t xml:space="preserve">), </w:t>
      </w:r>
      <w:r w:rsidR="007D127B" w:rsidRPr="003F6986">
        <w:rPr>
          <w:sz w:val="28"/>
          <w:szCs w:val="28"/>
          <w:lang w:val="ro-RO" w:eastAsia="ro-RO"/>
        </w:rPr>
        <w:t xml:space="preserve">moştenire </w:t>
      </w:r>
      <w:r w:rsidRPr="003F6986">
        <w:rPr>
          <w:sz w:val="28"/>
          <w:szCs w:val="28"/>
          <w:lang w:val="ro-RO" w:eastAsia="ro-RO"/>
        </w:rPr>
        <w:t>(</w:t>
      </w:r>
      <w:r w:rsidR="007D127B" w:rsidRPr="003F6986">
        <w:rPr>
          <w:sz w:val="28"/>
          <w:szCs w:val="28"/>
          <w:lang w:val="ro-RO" w:eastAsia="ro-RO"/>
        </w:rPr>
        <w:t>36 %</w:t>
      </w:r>
      <w:r w:rsidRPr="003F6986">
        <w:rPr>
          <w:sz w:val="28"/>
          <w:szCs w:val="28"/>
          <w:lang w:val="ro-RO" w:eastAsia="ro-RO"/>
        </w:rPr>
        <w:t xml:space="preserve">), </w:t>
      </w:r>
      <w:r w:rsidR="007D127B" w:rsidRPr="003F6986">
        <w:rPr>
          <w:sz w:val="28"/>
          <w:szCs w:val="28"/>
          <w:lang w:val="ro-RO" w:eastAsia="ro-RO"/>
        </w:rPr>
        <w:t xml:space="preserve">contravenţii </w:t>
      </w:r>
      <w:r w:rsidRPr="003F6986">
        <w:rPr>
          <w:sz w:val="28"/>
          <w:szCs w:val="28"/>
          <w:lang w:val="ro-RO" w:eastAsia="ro-RO"/>
        </w:rPr>
        <w:t>(</w:t>
      </w:r>
      <w:r w:rsidR="007D127B" w:rsidRPr="003F6986">
        <w:rPr>
          <w:sz w:val="28"/>
          <w:szCs w:val="28"/>
          <w:lang w:val="ro-RO" w:eastAsia="ro-RO"/>
        </w:rPr>
        <w:t>35 %</w:t>
      </w:r>
      <w:r w:rsidRPr="003F6986">
        <w:rPr>
          <w:sz w:val="28"/>
          <w:szCs w:val="28"/>
          <w:lang w:val="ro-RO" w:eastAsia="ro-RO"/>
        </w:rPr>
        <w:t xml:space="preserve">), </w:t>
      </w:r>
      <w:r w:rsidR="007D127B" w:rsidRPr="003F6986">
        <w:rPr>
          <w:sz w:val="28"/>
          <w:szCs w:val="28"/>
          <w:lang w:val="ro-RO" w:eastAsia="ro-RO"/>
        </w:rPr>
        <w:t xml:space="preserve">drept fiscal </w:t>
      </w:r>
      <w:r w:rsidRPr="003F6986">
        <w:rPr>
          <w:sz w:val="28"/>
          <w:szCs w:val="28"/>
          <w:lang w:val="ro-RO" w:eastAsia="ro-RO"/>
        </w:rPr>
        <w:t>(</w:t>
      </w:r>
      <w:r w:rsidR="007D127B" w:rsidRPr="003F6986">
        <w:rPr>
          <w:sz w:val="28"/>
          <w:szCs w:val="28"/>
          <w:lang w:val="ro-RO" w:eastAsia="ro-RO"/>
        </w:rPr>
        <w:t xml:space="preserve">34 </w:t>
      </w:r>
      <w:r w:rsidRPr="003F6986">
        <w:rPr>
          <w:sz w:val="28"/>
          <w:szCs w:val="28"/>
          <w:lang w:val="ro-RO" w:eastAsia="ro-RO"/>
        </w:rPr>
        <w:t xml:space="preserve">%), </w:t>
      </w:r>
      <w:r w:rsidR="007D127B" w:rsidRPr="003F6986">
        <w:rPr>
          <w:sz w:val="28"/>
          <w:szCs w:val="28"/>
          <w:lang w:val="ro-RO" w:eastAsia="ro-RO"/>
        </w:rPr>
        <w:t xml:space="preserve">dreptul muncii </w:t>
      </w:r>
      <w:r w:rsidRPr="003F6986">
        <w:rPr>
          <w:sz w:val="28"/>
          <w:szCs w:val="28"/>
          <w:lang w:val="ro-RO" w:eastAsia="ro-RO"/>
        </w:rPr>
        <w:t>(</w:t>
      </w:r>
      <w:r w:rsidR="007D127B" w:rsidRPr="003F6986">
        <w:rPr>
          <w:sz w:val="28"/>
          <w:szCs w:val="28"/>
          <w:lang w:val="ro-RO" w:eastAsia="ro-RO"/>
        </w:rPr>
        <w:t>33 %</w:t>
      </w:r>
      <w:r w:rsidRPr="003F6986">
        <w:rPr>
          <w:sz w:val="28"/>
          <w:szCs w:val="28"/>
          <w:lang w:val="ro-RO" w:eastAsia="ro-RO"/>
        </w:rPr>
        <w:t xml:space="preserve">), </w:t>
      </w:r>
      <w:r w:rsidR="007D127B" w:rsidRPr="003F6986">
        <w:rPr>
          <w:sz w:val="28"/>
          <w:szCs w:val="28"/>
          <w:lang w:val="ro-RO" w:eastAsia="ro-RO"/>
        </w:rPr>
        <w:t xml:space="preserve">metode alternative de soluţionare a conflictelor </w:t>
      </w:r>
      <w:r w:rsidRPr="003F6986">
        <w:rPr>
          <w:sz w:val="28"/>
          <w:szCs w:val="28"/>
          <w:lang w:val="ro-RO" w:eastAsia="ro-RO"/>
        </w:rPr>
        <w:t>(</w:t>
      </w:r>
      <w:r w:rsidR="007D127B" w:rsidRPr="003F6986">
        <w:rPr>
          <w:sz w:val="28"/>
          <w:szCs w:val="28"/>
          <w:lang w:val="ro-RO" w:eastAsia="ro-RO"/>
        </w:rPr>
        <w:t>32 %</w:t>
      </w:r>
      <w:r w:rsidRPr="003F6986">
        <w:rPr>
          <w:sz w:val="28"/>
          <w:szCs w:val="28"/>
          <w:lang w:val="ro-RO" w:eastAsia="ro-RO"/>
        </w:rPr>
        <w:t xml:space="preserve">), </w:t>
      </w:r>
      <w:r w:rsidR="007D127B" w:rsidRPr="003F6986">
        <w:rPr>
          <w:sz w:val="28"/>
          <w:szCs w:val="28"/>
          <w:lang w:val="ro-RO" w:eastAsia="ro-RO"/>
        </w:rPr>
        <w:t xml:space="preserve">dreptul protecţiei sociale </w:t>
      </w:r>
      <w:r w:rsidRPr="003F6986">
        <w:rPr>
          <w:sz w:val="28"/>
          <w:szCs w:val="28"/>
          <w:lang w:val="ro-RO" w:eastAsia="ro-RO"/>
        </w:rPr>
        <w:t>(</w:t>
      </w:r>
      <w:r w:rsidR="007D127B" w:rsidRPr="003F6986">
        <w:rPr>
          <w:sz w:val="28"/>
          <w:szCs w:val="28"/>
          <w:lang w:val="ro-RO" w:eastAsia="ro-RO"/>
        </w:rPr>
        <w:t>32 %</w:t>
      </w:r>
      <w:r w:rsidRPr="003F6986">
        <w:rPr>
          <w:sz w:val="28"/>
          <w:szCs w:val="28"/>
          <w:lang w:val="ro-RO" w:eastAsia="ro-RO"/>
        </w:rPr>
        <w:t xml:space="preserve">), </w:t>
      </w:r>
      <w:r w:rsidR="003F0110" w:rsidRPr="003F6986">
        <w:rPr>
          <w:sz w:val="28"/>
          <w:szCs w:val="28"/>
          <w:lang w:val="ro-RO" w:eastAsia="ro-RO"/>
        </w:rPr>
        <w:t>democra</w:t>
      </w:r>
      <w:r w:rsidR="003F0110" w:rsidRPr="003F6986">
        <w:rPr>
          <w:rFonts w:hAnsi="Arial Narrow"/>
          <w:sz w:val="28"/>
          <w:szCs w:val="28"/>
          <w:lang w:val="ro-RO" w:eastAsia="ro-RO"/>
        </w:rPr>
        <w:t>ț</w:t>
      </w:r>
      <w:r w:rsidR="003F0110" w:rsidRPr="003F6986">
        <w:rPr>
          <w:sz w:val="28"/>
          <w:szCs w:val="28"/>
          <w:lang w:val="ro-RO" w:eastAsia="ro-RO"/>
        </w:rPr>
        <w:t xml:space="preserve">ia </w:t>
      </w:r>
      <w:r w:rsidR="003F0110" w:rsidRPr="003F6986">
        <w:rPr>
          <w:rFonts w:hAnsi="Arial Narrow"/>
          <w:sz w:val="28"/>
          <w:szCs w:val="28"/>
          <w:lang w:val="ro-RO" w:eastAsia="ro-RO"/>
        </w:rPr>
        <w:t>ș</w:t>
      </w:r>
      <w:r w:rsidR="003F0110" w:rsidRPr="003F6986">
        <w:rPr>
          <w:sz w:val="28"/>
          <w:szCs w:val="28"/>
          <w:lang w:val="ro-RO" w:eastAsia="ro-RO"/>
        </w:rPr>
        <w:t xml:space="preserve">i drepturile omului </w:t>
      </w:r>
      <w:r w:rsidRPr="003F6986">
        <w:rPr>
          <w:sz w:val="28"/>
          <w:szCs w:val="28"/>
          <w:lang w:val="ro-RO" w:eastAsia="ro-RO"/>
        </w:rPr>
        <w:t>(</w:t>
      </w:r>
      <w:r w:rsidR="003F0110" w:rsidRPr="003F6986">
        <w:rPr>
          <w:sz w:val="28"/>
          <w:szCs w:val="28"/>
          <w:lang w:val="ro-RO" w:eastAsia="ro-RO"/>
        </w:rPr>
        <w:t>29 %</w:t>
      </w:r>
      <w:r w:rsidRPr="003F6986">
        <w:rPr>
          <w:sz w:val="28"/>
          <w:szCs w:val="28"/>
          <w:lang w:val="ro-RO" w:eastAsia="ro-RO"/>
        </w:rPr>
        <w:t xml:space="preserve">), </w:t>
      </w:r>
      <w:r w:rsidR="007D127B" w:rsidRPr="003F6986">
        <w:rPr>
          <w:sz w:val="28"/>
          <w:szCs w:val="28"/>
          <w:lang w:val="ro-RO" w:eastAsia="ro-RO"/>
        </w:rPr>
        <w:t xml:space="preserve">consumatorii </w:t>
      </w:r>
      <w:r w:rsidRPr="003F6986">
        <w:rPr>
          <w:sz w:val="28"/>
          <w:szCs w:val="28"/>
          <w:lang w:val="ro-RO" w:eastAsia="ro-RO"/>
        </w:rPr>
        <w:t>(</w:t>
      </w:r>
      <w:r w:rsidR="007D127B" w:rsidRPr="003F6986">
        <w:rPr>
          <w:sz w:val="28"/>
          <w:szCs w:val="28"/>
          <w:lang w:val="ro-RO" w:eastAsia="ro-RO"/>
        </w:rPr>
        <w:t>28 %</w:t>
      </w:r>
      <w:r w:rsidRPr="003F6986">
        <w:rPr>
          <w:sz w:val="28"/>
          <w:szCs w:val="28"/>
          <w:lang w:val="ro-RO" w:eastAsia="ro-RO"/>
        </w:rPr>
        <w:t xml:space="preserve">), </w:t>
      </w:r>
      <w:r w:rsidR="007D127B" w:rsidRPr="003F6986">
        <w:rPr>
          <w:sz w:val="28"/>
          <w:szCs w:val="28"/>
          <w:lang w:val="ro-RO" w:eastAsia="ro-RO"/>
        </w:rPr>
        <w:t xml:space="preserve">dreptul familiei </w:t>
      </w:r>
      <w:r w:rsidRPr="003F6986">
        <w:rPr>
          <w:sz w:val="28"/>
          <w:szCs w:val="28"/>
          <w:lang w:val="ro-RO" w:eastAsia="ro-RO"/>
        </w:rPr>
        <w:t>(</w:t>
      </w:r>
      <w:r w:rsidR="007D127B" w:rsidRPr="003F6986">
        <w:rPr>
          <w:sz w:val="28"/>
          <w:szCs w:val="28"/>
          <w:lang w:val="ro-RO" w:eastAsia="ro-RO"/>
        </w:rPr>
        <w:t>24 %</w:t>
      </w:r>
      <w:r w:rsidRPr="003F6986">
        <w:rPr>
          <w:sz w:val="28"/>
          <w:szCs w:val="28"/>
          <w:lang w:val="ro-RO" w:eastAsia="ro-RO"/>
        </w:rPr>
        <w:t xml:space="preserve">), </w:t>
      </w:r>
      <w:r w:rsidR="007D127B" w:rsidRPr="003F6986">
        <w:rPr>
          <w:sz w:val="28"/>
          <w:szCs w:val="28"/>
          <w:lang w:val="ro-RO" w:eastAsia="ro-RO"/>
        </w:rPr>
        <w:t xml:space="preserve">dreptul afacerilor </w:t>
      </w:r>
      <w:r w:rsidRPr="003F6986">
        <w:rPr>
          <w:sz w:val="28"/>
          <w:szCs w:val="28"/>
          <w:lang w:val="ro-RO" w:eastAsia="ro-RO"/>
        </w:rPr>
        <w:t>(</w:t>
      </w:r>
      <w:r w:rsidR="007D127B" w:rsidRPr="003F6986">
        <w:rPr>
          <w:sz w:val="28"/>
          <w:szCs w:val="28"/>
          <w:lang w:val="ro-RO" w:eastAsia="ro-RO"/>
        </w:rPr>
        <w:t>23 %</w:t>
      </w:r>
      <w:r w:rsidRPr="003F6986">
        <w:rPr>
          <w:sz w:val="28"/>
          <w:szCs w:val="28"/>
          <w:lang w:val="ro-RO" w:eastAsia="ro-RO"/>
        </w:rPr>
        <w:t xml:space="preserve">), </w:t>
      </w:r>
      <w:r w:rsidR="007D127B" w:rsidRPr="003F6986">
        <w:rPr>
          <w:sz w:val="28"/>
          <w:szCs w:val="28"/>
          <w:lang w:val="ro-RO" w:eastAsia="ro-RO"/>
        </w:rPr>
        <w:t xml:space="preserve">acte de stare civilă </w:t>
      </w:r>
      <w:r w:rsidRPr="003F6986">
        <w:rPr>
          <w:sz w:val="28"/>
          <w:szCs w:val="28"/>
          <w:lang w:val="ro-RO" w:eastAsia="ro-RO"/>
        </w:rPr>
        <w:t>(</w:t>
      </w:r>
      <w:r w:rsidR="007D127B" w:rsidRPr="003F6986">
        <w:rPr>
          <w:sz w:val="28"/>
          <w:szCs w:val="28"/>
          <w:lang w:val="ro-RO" w:eastAsia="ro-RO"/>
        </w:rPr>
        <w:t>22 %</w:t>
      </w:r>
      <w:r w:rsidRPr="003F6986">
        <w:rPr>
          <w:sz w:val="28"/>
          <w:szCs w:val="28"/>
          <w:lang w:val="ro-RO" w:eastAsia="ro-RO"/>
        </w:rPr>
        <w:t xml:space="preserve">), </w:t>
      </w:r>
      <w:r w:rsidR="007D127B" w:rsidRPr="003F6986">
        <w:rPr>
          <w:sz w:val="28"/>
          <w:szCs w:val="28"/>
          <w:lang w:val="ro-RO" w:eastAsia="ro-RO"/>
        </w:rPr>
        <w:t xml:space="preserve">contracte </w:t>
      </w:r>
      <w:r w:rsidRPr="003F6986">
        <w:rPr>
          <w:sz w:val="28"/>
          <w:szCs w:val="28"/>
          <w:lang w:val="ro-RO" w:eastAsia="ro-RO"/>
        </w:rPr>
        <w:t>(</w:t>
      </w:r>
      <w:r w:rsidR="007D127B" w:rsidRPr="003F6986">
        <w:rPr>
          <w:sz w:val="28"/>
          <w:szCs w:val="28"/>
          <w:lang w:val="ro-RO" w:eastAsia="ro-RO"/>
        </w:rPr>
        <w:t>21 %</w:t>
      </w:r>
      <w:r w:rsidRPr="003F6986">
        <w:rPr>
          <w:sz w:val="28"/>
          <w:szCs w:val="28"/>
          <w:lang w:val="ro-RO" w:eastAsia="ro-RO"/>
        </w:rPr>
        <w:t xml:space="preserve">), </w:t>
      </w:r>
      <w:r w:rsidR="007D127B" w:rsidRPr="003F6986">
        <w:rPr>
          <w:sz w:val="28"/>
          <w:szCs w:val="28"/>
          <w:lang w:val="ro-RO" w:eastAsia="ro-RO"/>
        </w:rPr>
        <w:t xml:space="preserve">ocrotirea sănătăţii </w:t>
      </w:r>
      <w:r w:rsidRPr="003F6986">
        <w:rPr>
          <w:sz w:val="28"/>
          <w:szCs w:val="28"/>
          <w:lang w:val="ro-RO" w:eastAsia="ro-RO"/>
        </w:rPr>
        <w:t>(</w:t>
      </w:r>
      <w:r w:rsidR="007D127B" w:rsidRPr="003F6986">
        <w:rPr>
          <w:sz w:val="28"/>
          <w:szCs w:val="28"/>
          <w:lang w:val="ro-RO" w:eastAsia="ro-RO"/>
        </w:rPr>
        <w:t>20 %</w:t>
      </w:r>
      <w:r w:rsidRPr="003F6986">
        <w:rPr>
          <w:sz w:val="28"/>
          <w:szCs w:val="28"/>
          <w:lang w:val="ro-RO" w:eastAsia="ro-RO"/>
        </w:rPr>
        <w:t xml:space="preserve">), </w:t>
      </w:r>
      <w:r w:rsidR="003F0110" w:rsidRPr="003F6986">
        <w:rPr>
          <w:sz w:val="28"/>
          <w:szCs w:val="28"/>
          <w:lang w:val="ro-RO" w:eastAsia="ro-RO"/>
        </w:rPr>
        <w:t xml:space="preserve">drept administrativ </w:t>
      </w:r>
      <w:r w:rsidRPr="003F6986">
        <w:rPr>
          <w:sz w:val="28"/>
          <w:szCs w:val="28"/>
          <w:lang w:val="ro-RO" w:eastAsia="ro-RO"/>
        </w:rPr>
        <w:t>(</w:t>
      </w:r>
      <w:r w:rsidR="003F0110" w:rsidRPr="003F6986">
        <w:rPr>
          <w:sz w:val="28"/>
          <w:szCs w:val="28"/>
          <w:lang w:val="ro-RO" w:eastAsia="ro-RO"/>
        </w:rPr>
        <w:t>19 %</w:t>
      </w:r>
      <w:r w:rsidRPr="003F6986">
        <w:rPr>
          <w:sz w:val="28"/>
          <w:szCs w:val="28"/>
          <w:lang w:val="ro-RO" w:eastAsia="ro-RO"/>
        </w:rPr>
        <w:t xml:space="preserve">), </w:t>
      </w:r>
      <w:r w:rsidR="003F0110" w:rsidRPr="003F6986">
        <w:rPr>
          <w:sz w:val="28"/>
          <w:szCs w:val="28"/>
          <w:lang w:val="ro-RO" w:eastAsia="ro-RO"/>
        </w:rPr>
        <w:t xml:space="preserve">abilităţi de interacţiune cu beneficiarul AJGS </w:t>
      </w:r>
      <w:r w:rsidRPr="003F6986">
        <w:rPr>
          <w:sz w:val="28"/>
          <w:szCs w:val="28"/>
          <w:lang w:val="ro-RO" w:eastAsia="ro-RO"/>
        </w:rPr>
        <w:t>(</w:t>
      </w:r>
      <w:r w:rsidR="007D127B" w:rsidRPr="003F6986">
        <w:rPr>
          <w:sz w:val="28"/>
          <w:szCs w:val="28"/>
          <w:lang w:val="ro-RO" w:eastAsia="ro-RO"/>
        </w:rPr>
        <w:t>18</w:t>
      </w:r>
      <w:r w:rsidR="003F0110" w:rsidRPr="003F6986">
        <w:rPr>
          <w:sz w:val="28"/>
          <w:szCs w:val="28"/>
          <w:lang w:val="ro-RO" w:eastAsia="ro-RO"/>
        </w:rPr>
        <w:t xml:space="preserve"> %</w:t>
      </w:r>
      <w:r w:rsidRPr="003F6986">
        <w:rPr>
          <w:sz w:val="28"/>
          <w:szCs w:val="28"/>
          <w:lang w:val="ro-RO" w:eastAsia="ro-RO"/>
        </w:rPr>
        <w:t>)</w:t>
      </w:r>
      <w:r w:rsidR="007D127B" w:rsidRPr="003F6986">
        <w:rPr>
          <w:sz w:val="28"/>
          <w:szCs w:val="28"/>
          <w:lang w:val="ro-RO" w:eastAsia="ro-RO"/>
        </w:rPr>
        <w:t>.</w:t>
      </w:r>
      <w:r w:rsidR="00CB6E1D" w:rsidRPr="003F6986">
        <w:rPr>
          <w:sz w:val="28"/>
          <w:szCs w:val="28"/>
          <w:lang w:val="ro-RO" w:eastAsia="ro-RO"/>
        </w:rPr>
        <w:t xml:space="preserve"> În cadrul interviurilor s-a menţionat că acestea sunt domeniile în care </w:t>
      </w:r>
      <w:r w:rsidR="000B4F87">
        <w:rPr>
          <w:sz w:val="28"/>
          <w:szCs w:val="28"/>
          <w:lang w:val="ro-RO" w:eastAsia="ro-RO"/>
        </w:rPr>
        <w:t xml:space="preserve">avocaţii </w:t>
      </w:r>
      <w:r w:rsidR="00CB6E1D" w:rsidRPr="003F6986">
        <w:rPr>
          <w:sz w:val="28"/>
          <w:szCs w:val="28"/>
          <w:lang w:val="ro-RO" w:eastAsia="ro-RO"/>
        </w:rPr>
        <w:t xml:space="preserve">cel mai des întâmpină dificultăţi de reprezentare a clienţilor şi beneficiarilor de asistenţă juridică garantată de stat. În cadrul focus grupurilor s-a invocat că, </w:t>
      </w:r>
      <w:r w:rsidR="003F6986">
        <w:rPr>
          <w:sz w:val="28"/>
          <w:szCs w:val="28"/>
          <w:lang w:val="ro-RO" w:eastAsia="ro-RO"/>
        </w:rPr>
        <w:t>CNAJGS ar trebui</w:t>
      </w:r>
      <w:r w:rsidR="00CB6E1D" w:rsidRPr="003F6986">
        <w:rPr>
          <w:sz w:val="28"/>
          <w:szCs w:val="28"/>
          <w:lang w:val="ro-RO" w:eastAsia="ro-RO"/>
        </w:rPr>
        <w:t xml:space="preserve"> să acopere </w:t>
      </w:r>
      <w:r w:rsidR="003F6986" w:rsidRPr="003F6986">
        <w:rPr>
          <w:sz w:val="28"/>
          <w:szCs w:val="28"/>
          <w:lang w:val="ro-RO" w:eastAsia="ro-RO"/>
        </w:rPr>
        <w:t xml:space="preserve">acele domenii, care sunt </w:t>
      </w:r>
      <w:r w:rsidR="003F6986" w:rsidRPr="003F6986">
        <w:rPr>
          <w:sz w:val="28"/>
          <w:szCs w:val="28"/>
          <w:lang w:val="ro-RO" w:eastAsia="ro-RO"/>
        </w:rPr>
        <w:lastRenderedPageBreak/>
        <w:t>mai aproape de tipajul beneficiarilor de asistenţă juridică garantată de stat, precum ar fi drept penal şi de procedură penală, contravenţii, dreptul muncii, metode alternative de soluţionare a conflictelor, dreptul protecţiei sociale, democra</w:t>
      </w:r>
      <w:r w:rsidR="003F6986" w:rsidRPr="003F6986">
        <w:rPr>
          <w:rFonts w:hAnsi="Arial Narrow"/>
          <w:sz w:val="28"/>
          <w:szCs w:val="28"/>
          <w:lang w:val="ro-RO" w:eastAsia="ro-RO"/>
        </w:rPr>
        <w:t>ț</w:t>
      </w:r>
      <w:r w:rsidR="003F6986" w:rsidRPr="003F6986">
        <w:rPr>
          <w:sz w:val="28"/>
          <w:szCs w:val="28"/>
          <w:lang w:val="ro-RO" w:eastAsia="ro-RO"/>
        </w:rPr>
        <w:t xml:space="preserve">ia </w:t>
      </w:r>
      <w:r w:rsidR="003F6986" w:rsidRPr="003F6986">
        <w:rPr>
          <w:rFonts w:hAnsi="Arial Narrow"/>
          <w:sz w:val="28"/>
          <w:szCs w:val="28"/>
          <w:lang w:val="ro-RO" w:eastAsia="ro-RO"/>
        </w:rPr>
        <w:t>ș</w:t>
      </w:r>
      <w:r w:rsidR="003F6986" w:rsidRPr="003F6986">
        <w:rPr>
          <w:sz w:val="28"/>
          <w:szCs w:val="28"/>
          <w:lang w:val="ro-RO" w:eastAsia="ro-RO"/>
        </w:rPr>
        <w:t xml:space="preserve">i drepturile omului, consumatorii, dreptul familiei, acte de stare civilă, ocrotirea sănătăţii, drept administrativ, abilităţi de interacţiune cu beneficiarul AJGS. În opinia reprezentanţilor OT ale CNAJGS este important de a efectua o analiză </w:t>
      </w:r>
      <w:r w:rsidR="00D161CD">
        <w:rPr>
          <w:sz w:val="28"/>
          <w:szCs w:val="28"/>
          <w:lang w:val="ro-RO" w:eastAsia="ro-RO"/>
        </w:rPr>
        <w:t>a</w:t>
      </w:r>
      <w:r w:rsidR="003F6986" w:rsidRPr="003F6986">
        <w:rPr>
          <w:sz w:val="28"/>
          <w:szCs w:val="28"/>
          <w:lang w:val="ro-RO" w:eastAsia="ro-RO"/>
        </w:rPr>
        <w:t xml:space="preserve"> categorii</w:t>
      </w:r>
      <w:r w:rsidR="00D161CD">
        <w:rPr>
          <w:sz w:val="28"/>
          <w:szCs w:val="28"/>
          <w:lang w:val="ro-RO" w:eastAsia="ro-RO"/>
        </w:rPr>
        <w:t>lor</w:t>
      </w:r>
      <w:r w:rsidR="003F6986" w:rsidRPr="003F6986">
        <w:rPr>
          <w:sz w:val="28"/>
          <w:szCs w:val="28"/>
          <w:lang w:val="ro-RO" w:eastAsia="ro-RO"/>
        </w:rPr>
        <w:t xml:space="preserve"> de cauze </w:t>
      </w:r>
      <w:r w:rsidR="00D161CD">
        <w:rPr>
          <w:sz w:val="28"/>
          <w:szCs w:val="28"/>
          <w:lang w:val="ro-RO" w:eastAsia="ro-RO"/>
        </w:rPr>
        <w:t xml:space="preserve">în care se acordă asistenţă juridică garantată de stat </w:t>
      </w:r>
      <w:r w:rsidR="003F6986" w:rsidRPr="003F6986">
        <w:rPr>
          <w:sz w:val="28"/>
          <w:szCs w:val="28"/>
          <w:lang w:val="ro-RO" w:eastAsia="ro-RO"/>
        </w:rPr>
        <w:t>şi de asigurat instruire anume în ace</w:t>
      </w:r>
      <w:r w:rsidR="00D161CD">
        <w:rPr>
          <w:sz w:val="28"/>
          <w:szCs w:val="28"/>
          <w:lang w:val="ro-RO" w:eastAsia="ro-RO"/>
        </w:rPr>
        <w:t>le domenii în care asistenţa juridică garantată de stat se oferă cel mai frecvent</w:t>
      </w:r>
      <w:r w:rsidR="003F6986" w:rsidRPr="003F6986">
        <w:rPr>
          <w:sz w:val="28"/>
          <w:szCs w:val="28"/>
          <w:lang w:val="ro-RO" w:eastAsia="ro-RO"/>
        </w:rPr>
        <w:t xml:space="preserve">. În opinia noastră, </w:t>
      </w:r>
      <w:r w:rsidR="00D161CD">
        <w:rPr>
          <w:sz w:val="28"/>
          <w:szCs w:val="28"/>
          <w:lang w:val="ro-RO" w:eastAsia="ro-RO"/>
        </w:rPr>
        <w:t>majoritatea</w:t>
      </w:r>
      <w:r w:rsidR="003F6986" w:rsidRPr="003F6986">
        <w:rPr>
          <w:sz w:val="28"/>
          <w:szCs w:val="28"/>
          <w:lang w:val="ro-RO" w:eastAsia="ro-RO"/>
        </w:rPr>
        <w:t xml:space="preserve"> subiectel</w:t>
      </w:r>
      <w:r w:rsidR="00D161CD">
        <w:rPr>
          <w:sz w:val="28"/>
          <w:szCs w:val="28"/>
          <w:lang w:val="ro-RO" w:eastAsia="ro-RO"/>
        </w:rPr>
        <w:t>or</w:t>
      </w:r>
      <w:r w:rsidR="003F6986" w:rsidRPr="003F6986">
        <w:rPr>
          <w:sz w:val="28"/>
          <w:szCs w:val="28"/>
          <w:lang w:val="ro-RO" w:eastAsia="ro-RO"/>
        </w:rPr>
        <w:t xml:space="preserve"> ar fi relevante pentru instruirea continuă a avocaţilor. Totodată, în contextul resurselor limitate, este important de a asigura o prioritizare a subiectelor şi de a oferi instruire la subiectele prioritare dar la care nu se oferă instruire în general. Astfel, cunoştinţele teoretice pot fi obţinute de către avocaţi şi prin autoinstruire sau urmarea unor cursuri de instruire disponibile. CNAJSG ar urma să ofere instruiri în vederea formării abilităţilor de interacţiune cu beneficiarul asistenţei juridice în general şi a celei garantate de stat în special</w:t>
      </w:r>
      <w:r w:rsidR="00D161CD">
        <w:rPr>
          <w:sz w:val="28"/>
          <w:szCs w:val="28"/>
          <w:lang w:val="ro-RO" w:eastAsia="ro-RO"/>
        </w:rPr>
        <w:t>, în domeniile în care cel mai frecvent se acordă asistenţă juridică garantată de stat</w:t>
      </w:r>
      <w:r w:rsidR="003F6986" w:rsidRPr="003F6986">
        <w:rPr>
          <w:sz w:val="28"/>
          <w:szCs w:val="28"/>
          <w:lang w:val="ro-RO" w:eastAsia="ro-RO"/>
        </w:rPr>
        <w:t xml:space="preserve">. </w:t>
      </w:r>
    </w:p>
    <w:p w:rsidR="003F6986" w:rsidRPr="00035410" w:rsidRDefault="003F6986" w:rsidP="00035410">
      <w:pPr>
        <w:pStyle w:val="ListParagraph"/>
        <w:spacing w:before="0" w:after="0" w:line="240" w:lineRule="auto"/>
        <w:ind w:left="0"/>
        <w:rPr>
          <w:sz w:val="28"/>
          <w:szCs w:val="28"/>
          <w:lang w:val="ro-RO"/>
        </w:rPr>
      </w:pPr>
    </w:p>
    <w:p w:rsidR="002920A2" w:rsidRDefault="002920A2" w:rsidP="009813FF">
      <w:pPr>
        <w:jc w:val="center"/>
        <w:rPr>
          <w:lang w:val="ro-RO"/>
        </w:rPr>
      </w:pPr>
      <w:r w:rsidRPr="009813FF">
        <w:rPr>
          <w:i/>
          <w:lang w:val="ro-RO"/>
        </w:rPr>
        <w:t xml:space="preserve">Participarea la activităţile de </w:t>
      </w:r>
      <w:r w:rsidRPr="009813FF">
        <w:rPr>
          <w:b/>
          <w:bCs/>
          <w:i/>
          <w:lang w:val="ro-RO"/>
        </w:rPr>
        <w:t xml:space="preserve">instruire continuă urmează a fi luată în calcul </w:t>
      </w:r>
      <w:r w:rsidRPr="009813FF">
        <w:rPr>
          <w:i/>
          <w:lang w:val="ro-RO"/>
        </w:rPr>
        <w:t>(</w:t>
      </w:r>
      <w:r w:rsidRPr="009813FF">
        <w:rPr>
          <w:i/>
          <w:iCs/>
          <w:lang w:val="ro-RO"/>
        </w:rPr>
        <w:t>puteţi alege mai multe opţiuni</w:t>
      </w:r>
      <w:r w:rsidRPr="009813FF">
        <w:rPr>
          <w:i/>
          <w:lang w:val="ro-RO"/>
        </w:rPr>
        <w:t>):</w:t>
      </w:r>
      <w:r w:rsidR="00C43127">
        <w:rPr>
          <w:noProof/>
        </w:rPr>
        <w:drawing>
          <wp:inline distT="0" distB="0" distL="0" distR="0">
            <wp:extent cx="6076950" cy="3552825"/>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20A2" w:rsidRDefault="002920A2" w:rsidP="002920A2">
      <w:pPr>
        <w:rPr>
          <w:lang w:val="ro-RO"/>
        </w:rPr>
      </w:pPr>
    </w:p>
    <w:p w:rsidR="002920A2" w:rsidRPr="007D1B06" w:rsidRDefault="009813FF" w:rsidP="007D1B06">
      <w:pPr>
        <w:jc w:val="both"/>
        <w:rPr>
          <w:sz w:val="28"/>
          <w:szCs w:val="28"/>
          <w:lang w:val="ro-RO"/>
        </w:rPr>
      </w:pPr>
      <w:r w:rsidRPr="007D1B06">
        <w:rPr>
          <w:sz w:val="28"/>
          <w:szCs w:val="28"/>
          <w:lang w:val="ro-RO"/>
        </w:rPr>
        <w:t xml:space="preserve">Deşi instruirea continuă a avocaţilor este privită ca o oportunitate de sporire a capacităţilor profesionale, avocaţii au fost întrebaţi referitor la utilizarea evidenţei orelor de instruire continuă în diferite scopuri. Astfel, 50 % dintre avocaţii respondenţi la chestionar au menţionat că participarea la activităţile de </w:t>
      </w:r>
      <w:r w:rsidRPr="007D1B06">
        <w:rPr>
          <w:bCs/>
          <w:sz w:val="28"/>
          <w:szCs w:val="28"/>
          <w:lang w:val="ro-RO"/>
        </w:rPr>
        <w:t xml:space="preserve">instruire continuă urmează a fi luată în calcul la includerea </w:t>
      </w:r>
      <w:r w:rsidRPr="007D1B06">
        <w:rPr>
          <w:sz w:val="28"/>
          <w:szCs w:val="28"/>
          <w:lang w:val="ro-RO"/>
        </w:rPr>
        <w:t xml:space="preserve">avocaţilor în listele specializate de prestatori de servicii; 48 %  - la prelungirea contractelor de către OT ale </w:t>
      </w:r>
      <w:r w:rsidRPr="007D1B06">
        <w:rPr>
          <w:sz w:val="28"/>
          <w:szCs w:val="28"/>
          <w:lang w:val="ro-RO"/>
        </w:rPr>
        <w:lastRenderedPageBreak/>
        <w:t>CNAJGS cu avocaţii care sunt deja în sistemul AJGS</w:t>
      </w:r>
      <w:r w:rsidR="007D1B06" w:rsidRPr="007D1B06">
        <w:rPr>
          <w:sz w:val="28"/>
          <w:szCs w:val="28"/>
          <w:lang w:val="ro-RO"/>
        </w:rPr>
        <w:t>; 44 %  - la oferirea suportului metodic avocaţilor, 28 % - la stabilirea frecvenţei monitorizării activităţii de acordare a AJGS de către avocaţi.</w:t>
      </w:r>
      <w:r w:rsidR="007D1B06">
        <w:rPr>
          <w:sz w:val="28"/>
          <w:szCs w:val="28"/>
          <w:lang w:val="ro-RO"/>
        </w:rPr>
        <w:t xml:space="preserve"> Reprezentanţii CNAJGS au reiterat despre importanţa includerii în listele specializare cu adevărat a celor care deţin competenţe avansate în anumit domeniu. Astfel, participarea </w:t>
      </w:r>
      <w:r w:rsidR="007D1B06" w:rsidRPr="007D1B06">
        <w:rPr>
          <w:sz w:val="28"/>
          <w:szCs w:val="28"/>
          <w:lang w:val="ro-RO"/>
        </w:rPr>
        <w:t xml:space="preserve">la activităţile de </w:t>
      </w:r>
      <w:r w:rsidR="007D1B06" w:rsidRPr="007D1B06">
        <w:rPr>
          <w:bCs/>
          <w:sz w:val="28"/>
          <w:szCs w:val="28"/>
          <w:lang w:val="ro-RO"/>
        </w:rPr>
        <w:t xml:space="preserve">instruire continuă urmează a fi luată în calcul la includerea </w:t>
      </w:r>
      <w:r w:rsidR="007D1B06" w:rsidRPr="007D1B06">
        <w:rPr>
          <w:sz w:val="28"/>
          <w:szCs w:val="28"/>
          <w:lang w:val="ro-RO"/>
        </w:rPr>
        <w:t>avocaţilor în listele specializate de prestatori de servicii</w:t>
      </w:r>
      <w:r w:rsidR="007D1B06">
        <w:rPr>
          <w:sz w:val="28"/>
          <w:szCs w:val="28"/>
          <w:lang w:val="ro-RO"/>
        </w:rPr>
        <w:t xml:space="preserve"> şi </w:t>
      </w:r>
      <w:r w:rsidR="007D1B06" w:rsidRPr="007D1B06">
        <w:rPr>
          <w:sz w:val="28"/>
          <w:szCs w:val="28"/>
          <w:lang w:val="ro-RO"/>
        </w:rPr>
        <w:t>la prelungirea contractelor de către OT ale CNAJGS cu avocaţii care sunt deja în sistemul AJGS</w:t>
      </w:r>
      <w:r w:rsidR="007D1B06">
        <w:rPr>
          <w:sz w:val="28"/>
          <w:szCs w:val="28"/>
          <w:lang w:val="ro-RO"/>
        </w:rPr>
        <w:t>.</w:t>
      </w:r>
    </w:p>
    <w:p w:rsidR="00090E93" w:rsidRDefault="00090E93" w:rsidP="00950E06">
      <w:pPr>
        <w:jc w:val="center"/>
        <w:rPr>
          <w:sz w:val="28"/>
          <w:szCs w:val="28"/>
          <w:lang w:val="ro-RO"/>
        </w:rPr>
      </w:pPr>
    </w:p>
    <w:p w:rsidR="00090E93" w:rsidRDefault="00090E93"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3767BB" w:rsidRDefault="003767BB" w:rsidP="00950E06">
      <w:pPr>
        <w:jc w:val="center"/>
        <w:rPr>
          <w:sz w:val="28"/>
          <w:szCs w:val="28"/>
          <w:lang w:val="ro-RO"/>
        </w:rPr>
      </w:pPr>
    </w:p>
    <w:p w:rsidR="00090E93" w:rsidRPr="00090E93" w:rsidRDefault="00090E93" w:rsidP="00090E93">
      <w:pPr>
        <w:numPr>
          <w:ilvl w:val="0"/>
          <w:numId w:val="6"/>
        </w:numPr>
        <w:jc w:val="center"/>
        <w:rPr>
          <w:b/>
          <w:sz w:val="28"/>
          <w:szCs w:val="28"/>
          <w:lang w:val="ro-RO"/>
        </w:rPr>
      </w:pPr>
      <w:r w:rsidRPr="00090E93">
        <w:rPr>
          <w:b/>
          <w:sz w:val="28"/>
          <w:szCs w:val="28"/>
          <w:lang w:val="ro-RO"/>
        </w:rPr>
        <w:t xml:space="preserve">CONCEPTUL </w:t>
      </w:r>
      <w:r>
        <w:rPr>
          <w:b/>
          <w:sz w:val="28"/>
          <w:szCs w:val="28"/>
          <w:lang w:val="ro-RO"/>
        </w:rPr>
        <w:t xml:space="preserve">ASIGURĂRII </w:t>
      </w:r>
      <w:r w:rsidRPr="00090E93">
        <w:rPr>
          <w:b/>
          <w:sz w:val="28"/>
          <w:szCs w:val="28"/>
          <w:lang w:val="ro-RO"/>
        </w:rPr>
        <w:t>INSTRUIRII INI</w:t>
      </w:r>
      <w:r w:rsidR="00D1595A">
        <w:rPr>
          <w:b/>
          <w:sz w:val="28"/>
          <w:szCs w:val="28"/>
          <w:lang w:val="ro-RO"/>
        </w:rPr>
        <w:t>Ţ</w:t>
      </w:r>
      <w:r w:rsidRPr="00090E93">
        <w:rPr>
          <w:b/>
          <w:sz w:val="28"/>
          <w:szCs w:val="28"/>
          <w:lang w:val="ro-RO"/>
        </w:rPr>
        <w:t>I</w:t>
      </w:r>
      <w:r w:rsidR="00017E65" w:rsidRPr="00090E93">
        <w:rPr>
          <w:b/>
          <w:sz w:val="28"/>
          <w:szCs w:val="28"/>
          <w:lang w:val="ro-RO"/>
        </w:rPr>
        <w:t>A</w:t>
      </w:r>
      <w:r w:rsidRPr="00090E93">
        <w:rPr>
          <w:b/>
          <w:sz w:val="28"/>
          <w:szCs w:val="28"/>
          <w:lang w:val="ro-RO"/>
        </w:rPr>
        <w:t xml:space="preserve">LE </w:t>
      </w:r>
      <w:r w:rsidR="00D1595A">
        <w:rPr>
          <w:b/>
          <w:sz w:val="28"/>
          <w:szCs w:val="28"/>
          <w:lang w:val="ro-RO"/>
        </w:rPr>
        <w:t>Ş</w:t>
      </w:r>
      <w:r w:rsidRPr="00090E93">
        <w:rPr>
          <w:b/>
          <w:sz w:val="28"/>
          <w:szCs w:val="28"/>
          <w:lang w:val="ro-RO"/>
        </w:rPr>
        <w:t>I CONTINUE A AVOCA</w:t>
      </w:r>
      <w:r w:rsidR="00D1595A">
        <w:rPr>
          <w:b/>
          <w:sz w:val="28"/>
          <w:szCs w:val="28"/>
          <w:lang w:val="ro-RO"/>
        </w:rPr>
        <w:t>Ţ</w:t>
      </w:r>
      <w:r w:rsidRPr="00090E93">
        <w:rPr>
          <w:b/>
          <w:sz w:val="28"/>
          <w:szCs w:val="28"/>
          <w:lang w:val="ro-RO"/>
        </w:rPr>
        <w:t>ILOR CARE ACORDĂ ASISTEN</w:t>
      </w:r>
      <w:r w:rsidR="00D1595A">
        <w:rPr>
          <w:b/>
          <w:sz w:val="28"/>
          <w:szCs w:val="28"/>
          <w:lang w:val="ro-RO"/>
        </w:rPr>
        <w:t>Ţ</w:t>
      </w:r>
      <w:r w:rsidRPr="00090E93">
        <w:rPr>
          <w:b/>
          <w:sz w:val="28"/>
          <w:szCs w:val="28"/>
          <w:lang w:val="ro-RO"/>
        </w:rPr>
        <w:t>Ă JURIDICĂ GARANTATĂ DE STAT</w:t>
      </w:r>
    </w:p>
    <w:p w:rsidR="00090E93" w:rsidRDefault="00090E93" w:rsidP="00090E93">
      <w:pPr>
        <w:rPr>
          <w:b/>
          <w:lang w:val="ro-RO"/>
        </w:rPr>
      </w:pPr>
    </w:p>
    <w:p w:rsidR="00090E93" w:rsidRPr="003767BB" w:rsidRDefault="00600007" w:rsidP="00090E93">
      <w:pPr>
        <w:rPr>
          <w:b/>
          <w:sz w:val="28"/>
          <w:szCs w:val="28"/>
          <w:lang w:val="ro-RO"/>
        </w:rPr>
      </w:pPr>
      <w:r>
        <w:rPr>
          <w:b/>
          <w:sz w:val="28"/>
          <w:szCs w:val="28"/>
          <w:lang w:val="ro-RO"/>
        </w:rPr>
        <w:t>4.</w:t>
      </w:r>
      <w:r w:rsidR="00090E93" w:rsidRPr="003767BB">
        <w:rPr>
          <w:b/>
          <w:sz w:val="28"/>
          <w:szCs w:val="28"/>
          <w:lang w:val="ro-RO"/>
        </w:rPr>
        <w:t>1 INSTRUIREA INI</w:t>
      </w:r>
      <w:r w:rsidR="00D1595A">
        <w:rPr>
          <w:b/>
          <w:sz w:val="28"/>
          <w:szCs w:val="28"/>
          <w:lang w:val="ro-RO"/>
        </w:rPr>
        <w:t>Ţ</w:t>
      </w:r>
      <w:r w:rsidR="00090E93" w:rsidRPr="003767BB">
        <w:rPr>
          <w:b/>
          <w:sz w:val="28"/>
          <w:szCs w:val="28"/>
          <w:lang w:val="ro-RO"/>
        </w:rPr>
        <w:t>IALĂ</w:t>
      </w:r>
    </w:p>
    <w:p w:rsidR="00090E93" w:rsidRPr="003767BB" w:rsidRDefault="00090E93" w:rsidP="00090E93">
      <w:pPr>
        <w:rPr>
          <w:b/>
          <w:sz w:val="28"/>
          <w:szCs w:val="28"/>
          <w:lang w:val="ro-RO"/>
        </w:rPr>
      </w:pPr>
    </w:p>
    <w:p w:rsidR="00090E93" w:rsidRPr="003767BB" w:rsidRDefault="00090E93" w:rsidP="00090E93">
      <w:pPr>
        <w:numPr>
          <w:ilvl w:val="0"/>
          <w:numId w:val="7"/>
        </w:numPr>
        <w:rPr>
          <w:sz w:val="28"/>
          <w:szCs w:val="28"/>
          <w:lang w:val="ro-RO"/>
        </w:rPr>
      </w:pPr>
      <w:r w:rsidRPr="003767BB">
        <w:rPr>
          <w:b/>
          <w:sz w:val="28"/>
          <w:szCs w:val="28"/>
          <w:lang w:val="ro-RO"/>
        </w:rPr>
        <w:t xml:space="preserve">Beneficiari: </w:t>
      </w:r>
      <w:r w:rsidRPr="003767BB">
        <w:rPr>
          <w:sz w:val="28"/>
          <w:szCs w:val="28"/>
          <w:lang w:val="ro-RO"/>
        </w:rPr>
        <w:t>avoca</w:t>
      </w:r>
      <w:r w:rsidR="00D1595A">
        <w:rPr>
          <w:sz w:val="28"/>
          <w:szCs w:val="28"/>
          <w:lang w:val="ro-RO"/>
        </w:rPr>
        <w:t>ţ</w:t>
      </w:r>
      <w:r w:rsidRPr="003767BB">
        <w:rPr>
          <w:sz w:val="28"/>
          <w:szCs w:val="28"/>
          <w:lang w:val="ro-RO"/>
        </w:rPr>
        <w:t>i admi</w:t>
      </w:r>
      <w:r w:rsidR="00D1595A">
        <w:rPr>
          <w:sz w:val="28"/>
          <w:szCs w:val="28"/>
          <w:lang w:val="ro-RO"/>
        </w:rPr>
        <w:t>ş</w:t>
      </w:r>
      <w:r w:rsidRPr="003767BB">
        <w:rPr>
          <w:sz w:val="28"/>
          <w:szCs w:val="28"/>
          <w:lang w:val="ro-RO"/>
        </w:rPr>
        <w:t>i în sistemul de asisten</w:t>
      </w:r>
      <w:r w:rsidR="00D1595A">
        <w:rPr>
          <w:sz w:val="28"/>
          <w:szCs w:val="28"/>
          <w:lang w:val="ro-RO"/>
        </w:rPr>
        <w:t>ţ</w:t>
      </w:r>
      <w:r w:rsidRPr="003767BB">
        <w:rPr>
          <w:sz w:val="28"/>
          <w:szCs w:val="28"/>
          <w:lang w:val="ro-RO"/>
        </w:rPr>
        <w:t xml:space="preserve">ă juridică garantată de stat în termen de 3 luni de la semnarea contractului cu OT dar nu mai mult de 6 luni de la admiterea în sistemul </w:t>
      </w:r>
      <w:r w:rsidR="00181D44">
        <w:rPr>
          <w:sz w:val="28"/>
          <w:szCs w:val="28"/>
          <w:lang w:val="ro-RO"/>
        </w:rPr>
        <w:t xml:space="preserve">de </w:t>
      </w:r>
      <w:r w:rsidRPr="003767BB">
        <w:rPr>
          <w:sz w:val="28"/>
          <w:szCs w:val="28"/>
          <w:lang w:val="ro-RO"/>
        </w:rPr>
        <w:t>asiste</w:t>
      </w:r>
      <w:r w:rsidR="00600007">
        <w:rPr>
          <w:sz w:val="28"/>
          <w:szCs w:val="28"/>
          <w:lang w:val="ro-RO"/>
        </w:rPr>
        <w:t>n</w:t>
      </w:r>
      <w:r w:rsidR="00D1595A">
        <w:rPr>
          <w:sz w:val="28"/>
          <w:szCs w:val="28"/>
          <w:lang w:val="ro-RO"/>
        </w:rPr>
        <w:t>ţ</w:t>
      </w:r>
      <w:r w:rsidR="00181D44">
        <w:rPr>
          <w:sz w:val="28"/>
          <w:szCs w:val="28"/>
          <w:lang w:val="ro-RO"/>
        </w:rPr>
        <w:t>ă</w:t>
      </w:r>
      <w:r w:rsidR="00600007">
        <w:rPr>
          <w:sz w:val="28"/>
          <w:szCs w:val="28"/>
          <w:lang w:val="ro-RO"/>
        </w:rPr>
        <w:t xml:space="preserve"> juridic</w:t>
      </w:r>
      <w:r w:rsidR="00181D44">
        <w:rPr>
          <w:sz w:val="28"/>
          <w:szCs w:val="28"/>
          <w:lang w:val="ro-RO"/>
        </w:rPr>
        <w:t>ă</w:t>
      </w:r>
      <w:r w:rsidR="00600007">
        <w:rPr>
          <w:sz w:val="28"/>
          <w:szCs w:val="28"/>
          <w:lang w:val="ro-RO"/>
        </w:rPr>
        <w:t xml:space="preserve"> garantat</w:t>
      </w:r>
      <w:r w:rsidR="00181D44">
        <w:rPr>
          <w:sz w:val="28"/>
          <w:szCs w:val="28"/>
          <w:lang w:val="ro-RO"/>
        </w:rPr>
        <w:t>ă</w:t>
      </w:r>
      <w:r w:rsidR="00600007">
        <w:rPr>
          <w:sz w:val="28"/>
          <w:szCs w:val="28"/>
          <w:lang w:val="ro-RO"/>
        </w:rPr>
        <w:t xml:space="preserve"> de stat.</w:t>
      </w:r>
    </w:p>
    <w:p w:rsidR="00090E93" w:rsidRPr="003767BB" w:rsidRDefault="00090E93" w:rsidP="00090E93">
      <w:pPr>
        <w:ind w:left="360"/>
        <w:rPr>
          <w:sz w:val="28"/>
          <w:szCs w:val="28"/>
          <w:lang w:val="ro-RO"/>
        </w:rPr>
      </w:pPr>
    </w:p>
    <w:p w:rsidR="00090E93" w:rsidRPr="003767BB" w:rsidRDefault="00090E93" w:rsidP="00090E93">
      <w:pPr>
        <w:numPr>
          <w:ilvl w:val="0"/>
          <w:numId w:val="7"/>
        </w:numPr>
        <w:rPr>
          <w:sz w:val="28"/>
          <w:szCs w:val="28"/>
          <w:lang w:val="ro-RO"/>
        </w:rPr>
      </w:pPr>
      <w:r w:rsidRPr="003767BB">
        <w:rPr>
          <w:b/>
          <w:sz w:val="28"/>
          <w:szCs w:val="28"/>
          <w:lang w:val="ro-RO"/>
        </w:rPr>
        <w:t xml:space="preserve">Număr de ore: </w:t>
      </w:r>
      <w:r w:rsidRPr="003767BB">
        <w:rPr>
          <w:sz w:val="28"/>
          <w:szCs w:val="28"/>
          <w:lang w:val="ro-RO"/>
        </w:rPr>
        <w:t>8</w:t>
      </w:r>
      <w:r w:rsidR="00600007">
        <w:rPr>
          <w:sz w:val="28"/>
          <w:szCs w:val="28"/>
          <w:lang w:val="ro-RO"/>
        </w:rPr>
        <w:t xml:space="preserve"> ore academice.</w:t>
      </w:r>
    </w:p>
    <w:p w:rsidR="00090E93" w:rsidRPr="003767BB" w:rsidRDefault="00090E93" w:rsidP="00090E93">
      <w:pPr>
        <w:rPr>
          <w:sz w:val="28"/>
          <w:szCs w:val="28"/>
          <w:lang w:val="ro-RO"/>
        </w:rPr>
      </w:pPr>
    </w:p>
    <w:p w:rsidR="00090E93" w:rsidRPr="003767BB" w:rsidRDefault="00090E93" w:rsidP="00090E93">
      <w:pPr>
        <w:numPr>
          <w:ilvl w:val="0"/>
          <w:numId w:val="7"/>
        </w:numPr>
        <w:rPr>
          <w:sz w:val="28"/>
          <w:szCs w:val="28"/>
          <w:lang w:val="ro-RO"/>
        </w:rPr>
      </w:pPr>
      <w:r w:rsidRPr="003767BB">
        <w:rPr>
          <w:b/>
          <w:sz w:val="28"/>
          <w:szCs w:val="28"/>
          <w:lang w:val="ro-RO"/>
        </w:rPr>
        <w:t xml:space="preserve">Subiecte: </w:t>
      </w:r>
    </w:p>
    <w:p w:rsidR="00090E93" w:rsidRPr="003767BB" w:rsidRDefault="00090E93" w:rsidP="00090E93">
      <w:pPr>
        <w:numPr>
          <w:ilvl w:val="1"/>
          <w:numId w:val="7"/>
        </w:numPr>
        <w:rPr>
          <w:sz w:val="28"/>
          <w:szCs w:val="28"/>
          <w:lang w:val="ro-RO"/>
        </w:rPr>
      </w:pPr>
      <w:r w:rsidRPr="003767BB">
        <w:rPr>
          <w:sz w:val="28"/>
          <w:szCs w:val="28"/>
          <w:lang w:val="ro-RO"/>
        </w:rPr>
        <w:t>Managementul sistemului de asisten</w:t>
      </w:r>
      <w:r w:rsidR="00D1595A">
        <w:rPr>
          <w:sz w:val="28"/>
          <w:szCs w:val="28"/>
          <w:lang w:val="ro-RO"/>
        </w:rPr>
        <w:t>ţ</w:t>
      </w:r>
      <w:r w:rsidRPr="003767BB">
        <w:rPr>
          <w:sz w:val="28"/>
          <w:szCs w:val="28"/>
          <w:lang w:val="ro-RO"/>
        </w:rPr>
        <w:t>ă juridică garantată de stat (1 h);</w:t>
      </w:r>
    </w:p>
    <w:p w:rsidR="00090E93" w:rsidRPr="003767BB" w:rsidRDefault="00090E93" w:rsidP="00090E93">
      <w:pPr>
        <w:numPr>
          <w:ilvl w:val="1"/>
          <w:numId w:val="7"/>
        </w:numPr>
        <w:rPr>
          <w:sz w:val="28"/>
          <w:szCs w:val="28"/>
          <w:lang w:val="ro-RO"/>
        </w:rPr>
      </w:pPr>
      <w:r w:rsidRPr="003767BB">
        <w:rPr>
          <w:sz w:val="28"/>
          <w:szCs w:val="28"/>
          <w:lang w:val="ro-RO"/>
        </w:rPr>
        <w:t>Criteriile de acordare a asisten</w:t>
      </w:r>
      <w:r w:rsidR="00D1595A">
        <w:rPr>
          <w:sz w:val="28"/>
          <w:szCs w:val="28"/>
          <w:lang w:val="ro-RO"/>
        </w:rPr>
        <w:t>ţ</w:t>
      </w:r>
      <w:r w:rsidRPr="003767BB">
        <w:rPr>
          <w:sz w:val="28"/>
          <w:szCs w:val="28"/>
          <w:lang w:val="ro-RO"/>
        </w:rPr>
        <w:t>ei juridice garantate de stat (1 h);</w:t>
      </w:r>
    </w:p>
    <w:p w:rsidR="00090E93" w:rsidRPr="003767BB" w:rsidRDefault="00090E93" w:rsidP="00090E93">
      <w:pPr>
        <w:numPr>
          <w:ilvl w:val="1"/>
          <w:numId w:val="7"/>
        </w:numPr>
        <w:rPr>
          <w:sz w:val="28"/>
          <w:szCs w:val="28"/>
          <w:lang w:val="ro-RO"/>
        </w:rPr>
      </w:pPr>
      <w:r w:rsidRPr="003767BB">
        <w:rPr>
          <w:sz w:val="28"/>
          <w:szCs w:val="28"/>
          <w:lang w:val="ro-RO"/>
        </w:rPr>
        <w:t>Procesarea solicitărilor de asisten</w:t>
      </w:r>
      <w:r w:rsidR="00D1595A">
        <w:rPr>
          <w:sz w:val="28"/>
          <w:szCs w:val="28"/>
          <w:lang w:val="ro-RO"/>
        </w:rPr>
        <w:t>ţ</w:t>
      </w:r>
      <w:r w:rsidRPr="003767BB">
        <w:rPr>
          <w:sz w:val="28"/>
          <w:szCs w:val="28"/>
          <w:lang w:val="ro-RO"/>
        </w:rPr>
        <w:t>ă juridică garantată de stat (0,5 h);</w:t>
      </w:r>
    </w:p>
    <w:p w:rsidR="00090E93" w:rsidRPr="003767BB" w:rsidRDefault="00090E93" w:rsidP="00090E93">
      <w:pPr>
        <w:numPr>
          <w:ilvl w:val="1"/>
          <w:numId w:val="7"/>
        </w:numPr>
        <w:rPr>
          <w:sz w:val="28"/>
          <w:szCs w:val="28"/>
          <w:lang w:val="ro-RO"/>
        </w:rPr>
      </w:pPr>
      <w:r w:rsidRPr="003767BB">
        <w:rPr>
          <w:sz w:val="28"/>
          <w:szCs w:val="28"/>
          <w:lang w:val="ro-RO"/>
        </w:rPr>
        <w:t xml:space="preserve">Drepturile </w:t>
      </w:r>
      <w:r w:rsidR="00D1595A">
        <w:rPr>
          <w:sz w:val="28"/>
          <w:szCs w:val="28"/>
          <w:lang w:val="ro-RO"/>
        </w:rPr>
        <w:t>ş</w:t>
      </w:r>
      <w:r w:rsidRPr="003767BB">
        <w:rPr>
          <w:sz w:val="28"/>
          <w:szCs w:val="28"/>
          <w:lang w:val="ro-RO"/>
        </w:rPr>
        <w:t>i obliga</w:t>
      </w:r>
      <w:r w:rsidR="00D1595A">
        <w:rPr>
          <w:sz w:val="28"/>
          <w:szCs w:val="28"/>
          <w:lang w:val="ro-RO"/>
        </w:rPr>
        <w:t>ţ</w:t>
      </w:r>
      <w:r w:rsidRPr="003767BB">
        <w:rPr>
          <w:sz w:val="28"/>
          <w:szCs w:val="28"/>
          <w:lang w:val="ro-RO"/>
        </w:rPr>
        <w:t>iile avocatului în procesul de acordare a asisten</w:t>
      </w:r>
      <w:r w:rsidR="00D1595A">
        <w:rPr>
          <w:sz w:val="28"/>
          <w:szCs w:val="28"/>
          <w:lang w:val="ro-RO"/>
        </w:rPr>
        <w:t>ţ</w:t>
      </w:r>
      <w:r w:rsidRPr="003767BB">
        <w:rPr>
          <w:sz w:val="28"/>
          <w:szCs w:val="28"/>
          <w:lang w:val="ro-RO"/>
        </w:rPr>
        <w:t xml:space="preserve">ei juridice garantate de stat în raport cu beneficiarul, </w:t>
      </w:r>
      <w:r w:rsidR="00181D44">
        <w:rPr>
          <w:sz w:val="28"/>
          <w:szCs w:val="28"/>
          <w:lang w:val="ro-RO"/>
        </w:rPr>
        <w:t xml:space="preserve">cu </w:t>
      </w:r>
      <w:r w:rsidRPr="003767BB">
        <w:rPr>
          <w:sz w:val="28"/>
          <w:szCs w:val="28"/>
          <w:lang w:val="ro-RO"/>
        </w:rPr>
        <w:t>sistemul asisten</w:t>
      </w:r>
      <w:r w:rsidR="00D1595A">
        <w:rPr>
          <w:sz w:val="28"/>
          <w:szCs w:val="28"/>
          <w:lang w:val="ro-RO"/>
        </w:rPr>
        <w:t>ţ</w:t>
      </w:r>
      <w:r w:rsidRPr="003767BB">
        <w:rPr>
          <w:sz w:val="28"/>
          <w:szCs w:val="28"/>
          <w:lang w:val="ro-RO"/>
        </w:rPr>
        <w:t xml:space="preserve">ei juridice garantate de stat </w:t>
      </w:r>
      <w:r w:rsidR="00D1595A">
        <w:rPr>
          <w:sz w:val="28"/>
          <w:szCs w:val="28"/>
          <w:lang w:val="ro-RO"/>
        </w:rPr>
        <w:t>ş</w:t>
      </w:r>
      <w:r w:rsidRPr="003767BB">
        <w:rPr>
          <w:sz w:val="28"/>
          <w:szCs w:val="28"/>
          <w:lang w:val="ro-RO"/>
        </w:rPr>
        <w:t>i sistemul de justi</w:t>
      </w:r>
      <w:r w:rsidR="00D1595A">
        <w:rPr>
          <w:sz w:val="28"/>
          <w:szCs w:val="28"/>
          <w:lang w:val="ro-RO"/>
        </w:rPr>
        <w:t>ţ</w:t>
      </w:r>
      <w:r w:rsidRPr="003767BB">
        <w:rPr>
          <w:sz w:val="28"/>
          <w:szCs w:val="28"/>
          <w:lang w:val="ro-RO"/>
        </w:rPr>
        <w:t>ie (1,5 h);</w:t>
      </w:r>
    </w:p>
    <w:p w:rsidR="00090E93" w:rsidRPr="003767BB" w:rsidRDefault="00090E93" w:rsidP="00090E93">
      <w:pPr>
        <w:numPr>
          <w:ilvl w:val="1"/>
          <w:numId w:val="7"/>
        </w:numPr>
        <w:rPr>
          <w:sz w:val="28"/>
          <w:szCs w:val="28"/>
          <w:lang w:val="ro-RO"/>
        </w:rPr>
      </w:pPr>
      <w:r w:rsidRPr="003767BB">
        <w:rPr>
          <w:sz w:val="28"/>
          <w:szCs w:val="28"/>
          <w:lang w:val="ro-RO"/>
        </w:rPr>
        <w:t>Eviden</w:t>
      </w:r>
      <w:r w:rsidR="00D1595A">
        <w:rPr>
          <w:sz w:val="28"/>
          <w:szCs w:val="28"/>
          <w:lang w:val="ro-RO"/>
        </w:rPr>
        <w:t>ţ</w:t>
      </w:r>
      <w:r w:rsidRPr="003767BB">
        <w:rPr>
          <w:sz w:val="28"/>
          <w:szCs w:val="28"/>
          <w:lang w:val="ro-RO"/>
        </w:rPr>
        <w:t>a asisten</w:t>
      </w:r>
      <w:r w:rsidR="00D1595A">
        <w:rPr>
          <w:sz w:val="28"/>
          <w:szCs w:val="28"/>
          <w:lang w:val="ro-RO"/>
        </w:rPr>
        <w:t>ţ</w:t>
      </w:r>
      <w:r w:rsidRPr="003767BB">
        <w:rPr>
          <w:sz w:val="28"/>
          <w:szCs w:val="28"/>
          <w:lang w:val="ro-RO"/>
        </w:rPr>
        <w:t>ei juridice acordate (0,5 h);</w:t>
      </w:r>
    </w:p>
    <w:p w:rsidR="00090E93" w:rsidRPr="003767BB" w:rsidRDefault="00090E93" w:rsidP="00090E93">
      <w:pPr>
        <w:numPr>
          <w:ilvl w:val="1"/>
          <w:numId w:val="7"/>
        </w:numPr>
        <w:rPr>
          <w:sz w:val="28"/>
          <w:szCs w:val="28"/>
          <w:lang w:val="ro-RO"/>
        </w:rPr>
      </w:pPr>
      <w:r w:rsidRPr="003767BB">
        <w:rPr>
          <w:sz w:val="28"/>
          <w:szCs w:val="28"/>
          <w:lang w:val="ro-RO"/>
        </w:rPr>
        <w:t>Procedura de raportare a asisten</w:t>
      </w:r>
      <w:r w:rsidR="00D1595A">
        <w:rPr>
          <w:sz w:val="28"/>
          <w:szCs w:val="28"/>
          <w:lang w:val="ro-RO"/>
        </w:rPr>
        <w:t>ţ</w:t>
      </w:r>
      <w:r w:rsidRPr="003767BB">
        <w:rPr>
          <w:sz w:val="28"/>
          <w:szCs w:val="28"/>
          <w:lang w:val="ro-RO"/>
        </w:rPr>
        <w:t>ei juridice acordate (0,5 h);</w:t>
      </w:r>
    </w:p>
    <w:p w:rsidR="00090E93" w:rsidRPr="003767BB" w:rsidRDefault="00090E93" w:rsidP="00090E93">
      <w:pPr>
        <w:numPr>
          <w:ilvl w:val="1"/>
          <w:numId w:val="7"/>
        </w:numPr>
        <w:rPr>
          <w:sz w:val="28"/>
          <w:szCs w:val="28"/>
          <w:lang w:val="ro-RO"/>
        </w:rPr>
      </w:pPr>
      <w:r w:rsidRPr="003767BB">
        <w:rPr>
          <w:sz w:val="28"/>
          <w:szCs w:val="28"/>
          <w:lang w:val="ro-RO"/>
        </w:rPr>
        <w:t>Remunerarea serviciilor de asisten</w:t>
      </w:r>
      <w:r w:rsidR="00D1595A">
        <w:rPr>
          <w:sz w:val="28"/>
          <w:szCs w:val="28"/>
          <w:lang w:val="ro-RO"/>
        </w:rPr>
        <w:t>ţ</w:t>
      </w:r>
      <w:r w:rsidRPr="003767BB">
        <w:rPr>
          <w:sz w:val="28"/>
          <w:szCs w:val="28"/>
          <w:lang w:val="ro-RO"/>
        </w:rPr>
        <w:t>ă juridică garantată de stat (1 h);</w:t>
      </w:r>
    </w:p>
    <w:p w:rsidR="00090E93" w:rsidRPr="003767BB" w:rsidRDefault="00090E93" w:rsidP="00090E93">
      <w:pPr>
        <w:numPr>
          <w:ilvl w:val="1"/>
          <w:numId w:val="7"/>
        </w:numPr>
        <w:rPr>
          <w:sz w:val="28"/>
          <w:szCs w:val="28"/>
          <w:lang w:val="ro-RO"/>
        </w:rPr>
      </w:pPr>
      <w:r w:rsidRPr="003767BB">
        <w:rPr>
          <w:sz w:val="28"/>
          <w:szCs w:val="28"/>
          <w:lang w:val="ro-RO"/>
        </w:rPr>
        <w:t>Asigurarea calită</w:t>
      </w:r>
      <w:r w:rsidR="00D1595A">
        <w:rPr>
          <w:sz w:val="28"/>
          <w:szCs w:val="28"/>
          <w:lang w:val="ro-RO"/>
        </w:rPr>
        <w:t>ţ</w:t>
      </w:r>
      <w:r w:rsidRPr="003767BB">
        <w:rPr>
          <w:sz w:val="28"/>
          <w:szCs w:val="28"/>
          <w:lang w:val="ro-RO"/>
        </w:rPr>
        <w:t>ii asisten</w:t>
      </w:r>
      <w:r w:rsidR="00D1595A">
        <w:rPr>
          <w:sz w:val="28"/>
          <w:szCs w:val="28"/>
          <w:lang w:val="ro-RO"/>
        </w:rPr>
        <w:t>ţ</w:t>
      </w:r>
      <w:r w:rsidRPr="003767BB">
        <w:rPr>
          <w:sz w:val="28"/>
          <w:szCs w:val="28"/>
          <w:lang w:val="ro-RO"/>
        </w:rPr>
        <w:t>ei juridice acordate. Monitorizarea calită</w:t>
      </w:r>
      <w:r w:rsidR="00D1595A">
        <w:rPr>
          <w:sz w:val="28"/>
          <w:szCs w:val="28"/>
          <w:lang w:val="ro-RO"/>
        </w:rPr>
        <w:t>ţ</w:t>
      </w:r>
      <w:r w:rsidRPr="003767BB">
        <w:rPr>
          <w:sz w:val="28"/>
          <w:szCs w:val="28"/>
          <w:lang w:val="ro-RO"/>
        </w:rPr>
        <w:t>ii (1,5 h);</w:t>
      </w:r>
    </w:p>
    <w:p w:rsidR="00090E93" w:rsidRPr="003767BB" w:rsidRDefault="00090E93" w:rsidP="00090E93">
      <w:pPr>
        <w:numPr>
          <w:ilvl w:val="1"/>
          <w:numId w:val="7"/>
        </w:numPr>
        <w:rPr>
          <w:sz w:val="28"/>
          <w:szCs w:val="28"/>
          <w:lang w:val="ro-RO"/>
        </w:rPr>
      </w:pPr>
      <w:r w:rsidRPr="003767BB">
        <w:rPr>
          <w:sz w:val="28"/>
          <w:szCs w:val="28"/>
          <w:lang w:val="ro-RO"/>
        </w:rPr>
        <w:t>Noi tendin</w:t>
      </w:r>
      <w:r w:rsidR="00D1595A">
        <w:rPr>
          <w:sz w:val="28"/>
          <w:szCs w:val="28"/>
          <w:lang w:val="ro-RO"/>
        </w:rPr>
        <w:t>ţ</w:t>
      </w:r>
      <w:r w:rsidRPr="003767BB">
        <w:rPr>
          <w:sz w:val="28"/>
          <w:szCs w:val="28"/>
          <w:lang w:val="ro-RO"/>
        </w:rPr>
        <w:t>e în sistemul de asisten</w:t>
      </w:r>
      <w:r w:rsidR="00D1595A">
        <w:rPr>
          <w:sz w:val="28"/>
          <w:szCs w:val="28"/>
          <w:lang w:val="ro-RO"/>
        </w:rPr>
        <w:t>ţ</w:t>
      </w:r>
      <w:r w:rsidRPr="003767BB">
        <w:rPr>
          <w:sz w:val="28"/>
          <w:szCs w:val="28"/>
          <w:lang w:val="ro-RO"/>
        </w:rPr>
        <w:t>ă juridică garantată de stat (0,5 h).</w:t>
      </w:r>
    </w:p>
    <w:p w:rsidR="00090E93" w:rsidRPr="003767BB" w:rsidRDefault="00090E93" w:rsidP="00090E93">
      <w:pPr>
        <w:ind w:left="1080"/>
        <w:rPr>
          <w:sz w:val="28"/>
          <w:szCs w:val="28"/>
          <w:lang w:val="ro-RO"/>
        </w:rPr>
      </w:pPr>
    </w:p>
    <w:p w:rsidR="00090E93" w:rsidRPr="003767BB" w:rsidRDefault="00090E93" w:rsidP="00090E93">
      <w:pPr>
        <w:numPr>
          <w:ilvl w:val="0"/>
          <w:numId w:val="7"/>
        </w:numPr>
        <w:rPr>
          <w:b/>
          <w:sz w:val="28"/>
          <w:szCs w:val="28"/>
          <w:lang w:val="ro-RO"/>
        </w:rPr>
      </w:pPr>
      <w:r w:rsidRPr="003767BB">
        <w:rPr>
          <w:b/>
          <w:sz w:val="28"/>
          <w:szCs w:val="28"/>
          <w:lang w:val="ro-RO"/>
        </w:rPr>
        <w:t>Cerin</w:t>
      </w:r>
      <w:r w:rsidR="00D1595A">
        <w:rPr>
          <w:b/>
          <w:sz w:val="28"/>
          <w:szCs w:val="28"/>
          <w:lang w:val="ro-RO"/>
        </w:rPr>
        <w:t>ţ</w:t>
      </w:r>
      <w:r w:rsidRPr="003767BB">
        <w:rPr>
          <w:b/>
          <w:sz w:val="28"/>
          <w:szCs w:val="28"/>
          <w:lang w:val="ro-RO"/>
        </w:rPr>
        <w:t>e fa</w:t>
      </w:r>
      <w:r w:rsidR="00D1595A">
        <w:rPr>
          <w:b/>
          <w:sz w:val="28"/>
          <w:szCs w:val="28"/>
          <w:lang w:val="ro-RO"/>
        </w:rPr>
        <w:t>ţ</w:t>
      </w:r>
      <w:r w:rsidRPr="003767BB">
        <w:rPr>
          <w:b/>
          <w:sz w:val="28"/>
          <w:szCs w:val="28"/>
          <w:lang w:val="ro-RO"/>
        </w:rPr>
        <w:t>ă de formatori:</w:t>
      </w:r>
    </w:p>
    <w:p w:rsidR="00090E93" w:rsidRPr="003767BB" w:rsidRDefault="00090E93" w:rsidP="00090E93">
      <w:pPr>
        <w:numPr>
          <w:ilvl w:val="1"/>
          <w:numId w:val="7"/>
        </w:numPr>
        <w:rPr>
          <w:sz w:val="28"/>
          <w:szCs w:val="28"/>
          <w:lang w:val="ro-RO"/>
        </w:rPr>
      </w:pPr>
      <w:r w:rsidRPr="003767BB">
        <w:rPr>
          <w:sz w:val="28"/>
          <w:szCs w:val="28"/>
          <w:lang w:val="ro-RO"/>
        </w:rPr>
        <w:t>activitate de cel pu</w:t>
      </w:r>
      <w:r w:rsidR="00D1595A">
        <w:rPr>
          <w:sz w:val="28"/>
          <w:szCs w:val="28"/>
          <w:lang w:val="ro-RO"/>
        </w:rPr>
        <w:t>ţ</w:t>
      </w:r>
      <w:r w:rsidRPr="003767BB">
        <w:rPr>
          <w:sz w:val="28"/>
          <w:szCs w:val="28"/>
          <w:lang w:val="ro-RO"/>
        </w:rPr>
        <w:t>in 3 ani în sistemul de asisten</w:t>
      </w:r>
      <w:r w:rsidR="00D1595A">
        <w:rPr>
          <w:sz w:val="28"/>
          <w:szCs w:val="28"/>
          <w:lang w:val="ro-RO"/>
        </w:rPr>
        <w:t>ţ</w:t>
      </w:r>
      <w:r w:rsidRPr="003767BB">
        <w:rPr>
          <w:sz w:val="28"/>
          <w:szCs w:val="28"/>
          <w:lang w:val="ro-RO"/>
        </w:rPr>
        <w:t>ă juridică garantată de stat;</w:t>
      </w:r>
    </w:p>
    <w:p w:rsidR="00090E93" w:rsidRPr="003767BB" w:rsidRDefault="00090E93" w:rsidP="00090E93">
      <w:pPr>
        <w:numPr>
          <w:ilvl w:val="1"/>
          <w:numId w:val="7"/>
        </w:numPr>
        <w:rPr>
          <w:sz w:val="28"/>
          <w:szCs w:val="28"/>
          <w:lang w:val="ro-RO"/>
        </w:rPr>
      </w:pPr>
      <w:r w:rsidRPr="003767BB">
        <w:rPr>
          <w:sz w:val="28"/>
          <w:szCs w:val="28"/>
          <w:lang w:val="ro-RO"/>
        </w:rPr>
        <w:t>abilită</w:t>
      </w:r>
      <w:r w:rsidR="00D1595A">
        <w:rPr>
          <w:sz w:val="28"/>
          <w:szCs w:val="28"/>
          <w:lang w:val="ro-RO"/>
        </w:rPr>
        <w:t>ţ</w:t>
      </w:r>
      <w:r w:rsidRPr="003767BB">
        <w:rPr>
          <w:sz w:val="28"/>
          <w:szCs w:val="28"/>
          <w:lang w:val="ro-RO"/>
        </w:rPr>
        <w:t xml:space="preserve">i de comunicare, responsabilitate </w:t>
      </w:r>
      <w:r w:rsidR="00D1595A">
        <w:rPr>
          <w:sz w:val="28"/>
          <w:szCs w:val="28"/>
          <w:lang w:val="ro-RO"/>
        </w:rPr>
        <w:t>ş</w:t>
      </w:r>
      <w:r w:rsidRPr="003767BB">
        <w:rPr>
          <w:sz w:val="28"/>
          <w:szCs w:val="28"/>
          <w:lang w:val="ro-RO"/>
        </w:rPr>
        <w:t>i diligen</w:t>
      </w:r>
      <w:r w:rsidR="00D1595A">
        <w:rPr>
          <w:sz w:val="28"/>
          <w:szCs w:val="28"/>
          <w:lang w:val="ro-RO"/>
        </w:rPr>
        <w:t>ţ</w:t>
      </w:r>
      <w:r w:rsidRPr="003767BB">
        <w:rPr>
          <w:sz w:val="28"/>
          <w:szCs w:val="28"/>
          <w:lang w:val="ro-RO"/>
        </w:rPr>
        <w:t>ă profesională;</w:t>
      </w:r>
    </w:p>
    <w:p w:rsidR="00090E93" w:rsidRPr="003767BB" w:rsidRDefault="00090E93" w:rsidP="00090E93">
      <w:pPr>
        <w:numPr>
          <w:ilvl w:val="1"/>
          <w:numId w:val="7"/>
        </w:numPr>
        <w:rPr>
          <w:sz w:val="28"/>
          <w:szCs w:val="28"/>
          <w:lang w:val="ro-RO"/>
        </w:rPr>
      </w:pPr>
      <w:r w:rsidRPr="003767BB">
        <w:rPr>
          <w:sz w:val="28"/>
          <w:szCs w:val="28"/>
          <w:lang w:val="ro-RO"/>
        </w:rPr>
        <w:t>de</w:t>
      </w:r>
      <w:r w:rsidR="00D1595A">
        <w:rPr>
          <w:sz w:val="28"/>
          <w:szCs w:val="28"/>
          <w:lang w:val="ro-RO"/>
        </w:rPr>
        <w:t>ţ</w:t>
      </w:r>
      <w:r w:rsidRPr="003767BB">
        <w:rPr>
          <w:sz w:val="28"/>
          <w:szCs w:val="28"/>
          <w:lang w:val="ro-RO"/>
        </w:rPr>
        <w:t xml:space="preserve">inerea titlului didactic, </w:t>
      </w:r>
      <w:r w:rsidR="00DC0849">
        <w:rPr>
          <w:sz w:val="28"/>
          <w:szCs w:val="28"/>
          <w:lang w:val="ro-RO"/>
        </w:rPr>
        <w:t xml:space="preserve">a </w:t>
      </w:r>
      <w:r w:rsidRPr="003767BB">
        <w:rPr>
          <w:sz w:val="28"/>
          <w:szCs w:val="28"/>
          <w:lang w:val="ro-RO"/>
        </w:rPr>
        <w:t xml:space="preserve">gradului </w:t>
      </w:r>
      <w:r w:rsidR="00D1595A">
        <w:rPr>
          <w:sz w:val="28"/>
          <w:szCs w:val="28"/>
          <w:lang w:val="ro-RO"/>
        </w:rPr>
        <w:t>ş</w:t>
      </w:r>
      <w:r w:rsidRPr="003767BB">
        <w:rPr>
          <w:sz w:val="28"/>
          <w:szCs w:val="28"/>
          <w:lang w:val="ro-RO"/>
        </w:rPr>
        <w:t>tiin</w:t>
      </w:r>
      <w:r w:rsidR="00D1595A">
        <w:rPr>
          <w:sz w:val="28"/>
          <w:szCs w:val="28"/>
          <w:lang w:val="ro-RO"/>
        </w:rPr>
        <w:t>ţ</w:t>
      </w:r>
      <w:r w:rsidRPr="003767BB">
        <w:rPr>
          <w:sz w:val="28"/>
          <w:szCs w:val="28"/>
          <w:lang w:val="ro-RO"/>
        </w:rPr>
        <w:t>ific sau a unei func</w:t>
      </w:r>
      <w:r w:rsidR="00D1595A">
        <w:rPr>
          <w:sz w:val="28"/>
          <w:szCs w:val="28"/>
          <w:lang w:val="ro-RO"/>
        </w:rPr>
        <w:t>ţ</w:t>
      </w:r>
      <w:r w:rsidRPr="003767BB">
        <w:rPr>
          <w:sz w:val="28"/>
          <w:szCs w:val="28"/>
          <w:lang w:val="ro-RO"/>
        </w:rPr>
        <w:t>ii manageriale în sistemul de asisten</w:t>
      </w:r>
      <w:r w:rsidR="00D1595A">
        <w:rPr>
          <w:sz w:val="28"/>
          <w:szCs w:val="28"/>
          <w:lang w:val="ro-RO"/>
        </w:rPr>
        <w:t>ţ</w:t>
      </w:r>
      <w:r w:rsidRPr="003767BB">
        <w:rPr>
          <w:sz w:val="28"/>
          <w:szCs w:val="28"/>
          <w:lang w:val="ro-RO"/>
        </w:rPr>
        <w:t>ă juridică garantat</w:t>
      </w:r>
      <w:r w:rsidR="00181D44">
        <w:rPr>
          <w:sz w:val="28"/>
          <w:szCs w:val="28"/>
          <w:lang w:val="ro-RO"/>
        </w:rPr>
        <w:t>ă de stat constituie un avantaj.</w:t>
      </w:r>
    </w:p>
    <w:p w:rsidR="00090E93" w:rsidRPr="003767BB" w:rsidRDefault="00090E93" w:rsidP="00090E93">
      <w:pPr>
        <w:ind w:left="1080"/>
        <w:rPr>
          <w:sz w:val="28"/>
          <w:szCs w:val="28"/>
          <w:lang w:val="ro-RO"/>
        </w:rPr>
      </w:pPr>
    </w:p>
    <w:p w:rsidR="00090E93" w:rsidRPr="003767BB" w:rsidRDefault="00090E93" w:rsidP="00891CB9">
      <w:pPr>
        <w:ind w:left="1440" w:hanging="1080"/>
        <w:jc w:val="both"/>
        <w:rPr>
          <w:sz w:val="28"/>
          <w:szCs w:val="28"/>
          <w:lang w:val="ro-RO"/>
        </w:rPr>
      </w:pPr>
      <w:r w:rsidRPr="003767BB">
        <w:rPr>
          <w:b/>
          <w:sz w:val="28"/>
          <w:szCs w:val="28"/>
          <w:lang w:val="ro-RO"/>
        </w:rPr>
        <w:t xml:space="preserve">5. Responsabil de organizare: </w:t>
      </w:r>
      <w:r w:rsidRPr="003767BB">
        <w:rPr>
          <w:sz w:val="28"/>
          <w:szCs w:val="28"/>
          <w:lang w:val="ro-RO"/>
        </w:rPr>
        <w:t>aparatul administrativ al CNAJGS (atribu</w:t>
      </w:r>
      <w:r w:rsidR="00D1595A">
        <w:rPr>
          <w:sz w:val="28"/>
          <w:szCs w:val="28"/>
          <w:lang w:val="ro-RO"/>
        </w:rPr>
        <w:t>ţ</w:t>
      </w:r>
      <w:r w:rsidRPr="003767BB">
        <w:rPr>
          <w:sz w:val="28"/>
          <w:szCs w:val="28"/>
          <w:lang w:val="ro-RO"/>
        </w:rPr>
        <w:t xml:space="preserve">ii: selectarea formatorilor, asigurarea logistică a atelierelor de instruire, convenirea agendei de instruire </w:t>
      </w:r>
      <w:r w:rsidR="00D1595A">
        <w:rPr>
          <w:sz w:val="28"/>
          <w:szCs w:val="28"/>
          <w:lang w:val="ro-RO"/>
        </w:rPr>
        <w:t>ş</w:t>
      </w:r>
      <w:r w:rsidRPr="003767BB">
        <w:rPr>
          <w:sz w:val="28"/>
          <w:szCs w:val="28"/>
          <w:lang w:val="ro-RO"/>
        </w:rPr>
        <w:t xml:space="preserve">i </w:t>
      </w:r>
      <w:r w:rsidR="002132DD">
        <w:rPr>
          <w:sz w:val="28"/>
          <w:szCs w:val="28"/>
          <w:lang w:val="ro-RO"/>
        </w:rPr>
        <w:t xml:space="preserve">a </w:t>
      </w:r>
      <w:r w:rsidRPr="003767BB">
        <w:rPr>
          <w:sz w:val="28"/>
          <w:szCs w:val="28"/>
          <w:lang w:val="ro-RO"/>
        </w:rPr>
        <w:t>materialelor didactice cu formatorii, eliberarea certificatelor de confirmare a participării la activită</w:t>
      </w:r>
      <w:r w:rsidR="00D1595A">
        <w:rPr>
          <w:sz w:val="28"/>
          <w:szCs w:val="28"/>
          <w:lang w:val="ro-RO"/>
        </w:rPr>
        <w:t>ţ</w:t>
      </w:r>
      <w:r w:rsidRPr="003767BB">
        <w:rPr>
          <w:sz w:val="28"/>
          <w:szCs w:val="28"/>
          <w:lang w:val="ro-RO"/>
        </w:rPr>
        <w:t>i de instruire, recep</w:t>
      </w:r>
      <w:r w:rsidR="00891CB9">
        <w:rPr>
          <w:sz w:val="28"/>
          <w:szCs w:val="28"/>
          <w:lang w:val="ro-RO"/>
        </w:rPr>
        <w:t>ţ</w:t>
      </w:r>
      <w:r w:rsidRPr="003767BB">
        <w:rPr>
          <w:sz w:val="28"/>
          <w:szCs w:val="28"/>
          <w:lang w:val="ro-RO"/>
        </w:rPr>
        <w:t>ionarea rapoartelor de activita</w:t>
      </w:r>
      <w:r w:rsidR="00891CB9">
        <w:rPr>
          <w:sz w:val="28"/>
          <w:szCs w:val="28"/>
          <w:lang w:val="ro-RO"/>
        </w:rPr>
        <w:t xml:space="preserve">te </w:t>
      </w:r>
      <w:r w:rsidR="00D1595A">
        <w:rPr>
          <w:sz w:val="28"/>
          <w:szCs w:val="28"/>
          <w:lang w:val="ro-RO"/>
        </w:rPr>
        <w:t>ş</w:t>
      </w:r>
      <w:r w:rsidR="00891CB9">
        <w:rPr>
          <w:sz w:val="28"/>
          <w:szCs w:val="28"/>
          <w:lang w:val="ro-RO"/>
        </w:rPr>
        <w:t>i remunerarea formatorilor</w:t>
      </w:r>
      <w:r w:rsidR="006749BB">
        <w:rPr>
          <w:sz w:val="28"/>
          <w:szCs w:val="28"/>
          <w:lang w:val="ro-RO"/>
        </w:rPr>
        <w:t>, evidenţa orelor de instruire iniţială</w:t>
      </w:r>
      <w:r w:rsidR="00891CB9">
        <w:rPr>
          <w:sz w:val="28"/>
          <w:szCs w:val="28"/>
          <w:lang w:val="ro-RO"/>
        </w:rPr>
        <w:t xml:space="preserve">) şi Oficiile Teritoriale ale CNAJGS (atribuţii: </w:t>
      </w:r>
      <w:r w:rsidR="00891CB9" w:rsidRPr="003767BB">
        <w:rPr>
          <w:sz w:val="28"/>
          <w:szCs w:val="28"/>
          <w:lang w:val="ro-RO"/>
        </w:rPr>
        <w:t>identificarea participan</w:t>
      </w:r>
      <w:r w:rsidR="00D1595A">
        <w:rPr>
          <w:sz w:val="28"/>
          <w:szCs w:val="28"/>
          <w:lang w:val="ro-RO"/>
        </w:rPr>
        <w:t>ţ</w:t>
      </w:r>
      <w:r w:rsidR="00891CB9" w:rsidRPr="003767BB">
        <w:rPr>
          <w:sz w:val="28"/>
          <w:szCs w:val="28"/>
          <w:lang w:val="ro-RO"/>
        </w:rPr>
        <w:t>ilor,</w:t>
      </w:r>
      <w:r w:rsidR="002132DD">
        <w:rPr>
          <w:sz w:val="28"/>
          <w:szCs w:val="28"/>
          <w:lang w:val="ro-RO"/>
        </w:rPr>
        <w:t xml:space="preserve"> comunicarea detaliil</w:t>
      </w:r>
      <w:r w:rsidR="00A70FFE">
        <w:rPr>
          <w:sz w:val="28"/>
          <w:szCs w:val="28"/>
          <w:lang w:val="ro-RO"/>
        </w:rPr>
        <w:t>or</w:t>
      </w:r>
      <w:r w:rsidR="002132DD">
        <w:rPr>
          <w:sz w:val="28"/>
          <w:szCs w:val="28"/>
          <w:lang w:val="ro-RO"/>
        </w:rPr>
        <w:t xml:space="preserve"> privind instruirea).</w:t>
      </w:r>
    </w:p>
    <w:p w:rsidR="00090E93" w:rsidRDefault="00090E93" w:rsidP="00090E93">
      <w:pPr>
        <w:rPr>
          <w:lang w:val="ro-RO"/>
        </w:rPr>
      </w:pPr>
    </w:p>
    <w:p w:rsidR="00090E93" w:rsidRDefault="00090E93" w:rsidP="00090E93">
      <w:pPr>
        <w:rPr>
          <w:lang w:val="ro-RO"/>
        </w:rPr>
      </w:pPr>
    </w:p>
    <w:p w:rsidR="001376F7" w:rsidRDefault="001376F7" w:rsidP="00090E93">
      <w:pPr>
        <w:rPr>
          <w:lang w:val="ro-RO"/>
        </w:rPr>
      </w:pPr>
    </w:p>
    <w:p w:rsidR="00090E93" w:rsidRDefault="00181D44" w:rsidP="00090E93">
      <w:pPr>
        <w:rPr>
          <w:b/>
          <w:lang w:val="ro-RO"/>
        </w:rPr>
      </w:pPr>
      <w:r w:rsidRPr="001376F7">
        <w:rPr>
          <w:b/>
          <w:lang w:val="ro-RO"/>
        </w:rPr>
        <w:t>4</w:t>
      </w:r>
      <w:r w:rsidR="00090E93" w:rsidRPr="001376F7">
        <w:rPr>
          <w:b/>
          <w:lang w:val="ro-RO"/>
        </w:rPr>
        <w:t>.2 INSTRUIREA CONTINUĂ</w:t>
      </w:r>
    </w:p>
    <w:p w:rsidR="00090E93" w:rsidRDefault="00090E93" w:rsidP="00090E93">
      <w:pPr>
        <w:rPr>
          <w:b/>
          <w:lang w:val="ro-RO"/>
        </w:rPr>
      </w:pPr>
    </w:p>
    <w:p w:rsidR="00090E93" w:rsidRPr="001376F7" w:rsidRDefault="00090E93" w:rsidP="00090E93">
      <w:pPr>
        <w:numPr>
          <w:ilvl w:val="0"/>
          <w:numId w:val="8"/>
        </w:numPr>
        <w:rPr>
          <w:sz w:val="28"/>
          <w:szCs w:val="28"/>
          <w:lang w:val="ro-RO"/>
        </w:rPr>
      </w:pPr>
      <w:r w:rsidRPr="001376F7">
        <w:rPr>
          <w:b/>
          <w:sz w:val="28"/>
          <w:szCs w:val="28"/>
          <w:lang w:val="ro-RO"/>
        </w:rPr>
        <w:t xml:space="preserve">Beneficiari: </w:t>
      </w:r>
      <w:r w:rsidRPr="001376F7">
        <w:rPr>
          <w:sz w:val="28"/>
          <w:szCs w:val="28"/>
          <w:lang w:val="ro-RO"/>
        </w:rPr>
        <w:t>avoca</w:t>
      </w:r>
      <w:r w:rsidR="00D1595A" w:rsidRPr="001376F7">
        <w:rPr>
          <w:sz w:val="28"/>
          <w:szCs w:val="28"/>
          <w:lang w:val="ro-RO"/>
        </w:rPr>
        <w:t>ţ</w:t>
      </w:r>
      <w:r w:rsidRPr="001376F7">
        <w:rPr>
          <w:sz w:val="28"/>
          <w:szCs w:val="28"/>
          <w:lang w:val="ro-RO"/>
        </w:rPr>
        <w:t>i care acordă asisten</w:t>
      </w:r>
      <w:r w:rsidR="00D1595A" w:rsidRPr="001376F7">
        <w:rPr>
          <w:sz w:val="28"/>
          <w:szCs w:val="28"/>
          <w:lang w:val="ro-RO"/>
        </w:rPr>
        <w:t>ţ</w:t>
      </w:r>
      <w:r w:rsidRPr="001376F7">
        <w:rPr>
          <w:sz w:val="28"/>
          <w:szCs w:val="28"/>
          <w:lang w:val="ro-RO"/>
        </w:rPr>
        <w:t>ă juridică garantată de stat</w:t>
      </w:r>
    </w:p>
    <w:p w:rsidR="00090E93" w:rsidRPr="001376F7" w:rsidRDefault="00090E93" w:rsidP="00090E93">
      <w:pPr>
        <w:ind w:left="360"/>
        <w:rPr>
          <w:sz w:val="28"/>
          <w:szCs w:val="28"/>
          <w:lang w:val="ro-RO"/>
        </w:rPr>
      </w:pPr>
    </w:p>
    <w:p w:rsidR="00090E93" w:rsidRPr="001376F7" w:rsidRDefault="00090E93" w:rsidP="00090E93">
      <w:pPr>
        <w:numPr>
          <w:ilvl w:val="0"/>
          <w:numId w:val="8"/>
        </w:numPr>
        <w:rPr>
          <w:sz w:val="28"/>
          <w:szCs w:val="28"/>
          <w:lang w:val="ro-RO"/>
        </w:rPr>
      </w:pPr>
      <w:r w:rsidRPr="001376F7">
        <w:rPr>
          <w:b/>
          <w:sz w:val="28"/>
          <w:szCs w:val="28"/>
          <w:lang w:val="ro-RO"/>
        </w:rPr>
        <w:t xml:space="preserve">Număr de ore: </w:t>
      </w:r>
      <w:r w:rsidRPr="001376F7">
        <w:rPr>
          <w:sz w:val="28"/>
          <w:szCs w:val="28"/>
          <w:lang w:val="ro-RO"/>
        </w:rPr>
        <w:t>20</w:t>
      </w:r>
      <w:r w:rsidR="00344C83" w:rsidRPr="001376F7">
        <w:rPr>
          <w:sz w:val="28"/>
          <w:szCs w:val="28"/>
          <w:lang w:val="ro-RO"/>
        </w:rPr>
        <w:t xml:space="preserve"> </w:t>
      </w:r>
      <w:r w:rsidR="00431EBA">
        <w:rPr>
          <w:sz w:val="28"/>
          <w:szCs w:val="28"/>
          <w:lang w:val="ro-RO"/>
        </w:rPr>
        <w:t xml:space="preserve">ore </w:t>
      </w:r>
      <w:r w:rsidR="00344C83" w:rsidRPr="001376F7">
        <w:rPr>
          <w:sz w:val="28"/>
          <w:szCs w:val="28"/>
          <w:lang w:val="ro-RO"/>
        </w:rPr>
        <w:t>anual</w:t>
      </w:r>
    </w:p>
    <w:p w:rsidR="00090E93" w:rsidRPr="001376F7" w:rsidRDefault="00090E93" w:rsidP="00090E93">
      <w:pPr>
        <w:rPr>
          <w:sz w:val="28"/>
          <w:szCs w:val="28"/>
          <w:lang w:val="ro-RO"/>
        </w:rPr>
      </w:pPr>
    </w:p>
    <w:p w:rsidR="00090E93" w:rsidRPr="001376F7" w:rsidRDefault="00090E93" w:rsidP="00090E93">
      <w:pPr>
        <w:numPr>
          <w:ilvl w:val="0"/>
          <w:numId w:val="8"/>
        </w:numPr>
        <w:rPr>
          <w:sz w:val="28"/>
          <w:szCs w:val="28"/>
          <w:lang w:val="ro-RO"/>
        </w:rPr>
      </w:pPr>
      <w:r w:rsidRPr="001376F7">
        <w:rPr>
          <w:b/>
          <w:sz w:val="28"/>
          <w:szCs w:val="28"/>
          <w:lang w:val="ro-RO"/>
        </w:rPr>
        <w:t>Subiecte generale / pentru to</w:t>
      </w:r>
      <w:r w:rsidR="00D1595A" w:rsidRPr="001376F7">
        <w:rPr>
          <w:b/>
          <w:sz w:val="28"/>
          <w:szCs w:val="28"/>
          <w:lang w:val="ro-RO"/>
        </w:rPr>
        <w:t>ţ</w:t>
      </w:r>
      <w:r w:rsidRPr="001376F7">
        <w:rPr>
          <w:b/>
          <w:sz w:val="28"/>
          <w:szCs w:val="28"/>
          <w:lang w:val="ro-RO"/>
        </w:rPr>
        <w:t>i avoca</w:t>
      </w:r>
      <w:r w:rsidR="00D1595A" w:rsidRPr="001376F7">
        <w:rPr>
          <w:b/>
          <w:sz w:val="28"/>
          <w:szCs w:val="28"/>
          <w:lang w:val="ro-RO"/>
        </w:rPr>
        <w:t>ţ</w:t>
      </w:r>
      <w:r w:rsidRPr="001376F7">
        <w:rPr>
          <w:b/>
          <w:sz w:val="28"/>
          <w:szCs w:val="28"/>
          <w:lang w:val="ro-RO"/>
        </w:rPr>
        <w:t>ii care acordă asisten</w:t>
      </w:r>
      <w:r w:rsidR="00D1595A" w:rsidRPr="001376F7">
        <w:rPr>
          <w:b/>
          <w:sz w:val="28"/>
          <w:szCs w:val="28"/>
          <w:lang w:val="ro-RO"/>
        </w:rPr>
        <w:t>ţ</w:t>
      </w:r>
      <w:r w:rsidRPr="001376F7">
        <w:rPr>
          <w:b/>
          <w:sz w:val="28"/>
          <w:szCs w:val="28"/>
          <w:lang w:val="ro-RO"/>
        </w:rPr>
        <w:t xml:space="preserve">ă juridică garantată de stat: </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Interac</w:t>
      </w:r>
      <w:r w:rsidR="00D1595A" w:rsidRPr="00362AB2">
        <w:rPr>
          <w:sz w:val="28"/>
          <w:szCs w:val="28"/>
          <w:lang w:val="ro-RO"/>
        </w:rPr>
        <w:t>ţ</w:t>
      </w:r>
      <w:r w:rsidRPr="00362AB2">
        <w:rPr>
          <w:sz w:val="28"/>
          <w:szCs w:val="28"/>
          <w:lang w:val="ro-RO"/>
        </w:rPr>
        <w:t>iunea cu beneficiarul asisten</w:t>
      </w:r>
      <w:r w:rsidR="00D1595A" w:rsidRPr="00362AB2">
        <w:rPr>
          <w:sz w:val="28"/>
          <w:szCs w:val="28"/>
          <w:lang w:val="ro-RO"/>
        </w:rPr>
        <w:t>ţ</w:t>
      </w:r>
      <w:r w:rsidRPr="00362AB2">
        <w:rPr>
          <w:sz w:val="28"/>
          <w:szCs w:val="28"/>
          <w:lang w:val="ro-RO"/>
        </w:rPr>
        <w:t>ei juridice garantate de stat. Intervievarea beneficiarului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 xml:space="preserve">Analiza materialelor cauzei </w:t>
      </w:r>
      <w:r w:rsidR="00D1595A" w:rsidRPr="00362AB2">
        <w:rPr>
          <w:sz w:val="28"/>
          <w:szCs w:val="28"/>
          <w:lang w:val="ro-RO"/>
        </w:rPr>
        <w:t>ş</w:t>
      </w:r>
      <w:r w:rsidRPr="00362AB2">
        <w:rPr>
          <w:sz w:val="28"/>
          <w:szCs w:val="28"/>
          <w:lang w:val="ro-RO"/>
        </w:rPr>
        <w:t>i documentarea asupra cauzei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Interac</w:t>
      </w:r>
      <w:r w:rsidR="00D1595A" w:rsidRPr="00362AB2">
        <w:rPr>
          <w:sz w:val="28"/>
          <w:szCs w:val="28"/>
          <w:lang w:val="ro-RO"/>
        </w:rPr>
        <w:t>ţ</w:t>
      </w:r>
      <w:r w:rsidRPr="00362AB2">
        <w:rPr>
          <w:sz w:val="28"/>
          <w:szCs w:val="28"/>
          <w:lang w:val="ro-RO"/>
        </w:rPr>
        <w:t>iunea cu beneficiarul asisten</w:t>
      </w:r>
      <w:r w:rsidR="00D1595A" w:rsidRPr="00362AB2">
        <w:rPr>
          <w:sz w:val="28"/>
          <w:szCs w:val="28"/>
          <w:lang w:val="ro-RO"/>
        </w:rPr>
        <w:t>ţ</w:t>
      </w:r>
      <w:r w:rsidRPr="00362AB2">
        <w:rPr>
          <w:sz w:val="28"/>
          <w:szCs w:val="28"/>
          <w:lang w:val="ro-RO"/>
        </w:rPr>
        <w:t>ei juridice garantate de stat. Consultarea beneficiarului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Formularea strategiei de apărare a intereselor beneficiarului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Abilită</w:t>
      </w:r>
      <w:r w:rsidR="00D1595A" w:rsidRPr="00362AB2">
        <w:rPr>
          <w:sz w:val="28"/>
          <w:szCs w:val="28"/>
          <w:lang w:val="ro-RO"/>
        </w:rPr>
        <w:t>ţ</w:t>
      </w:r>
      <w:r w:rsidRPr="00362AB2">
        <w:rPr>
          <w:sz w:val="28"/>
          <w:szCs w:val="28"/>
          <w:lang w:val="ro-RO"/>
        </w:rPr>
        <w:t>i de scriere a actelor cu caracter juridic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Pledoaria avocatului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Particularită</w:t>
      </w:r>
      <w:r w:rsidR="00D1595A" w:rsidRPr="00362AB2">
        <w:rPr>
          <w:sz w:val="28"/>
          <w:szCs w:val="28"/>
          <w:lang w:val="ro-RO"/>
        </w:rPr>
        <w:t>ţ</w:t>
      </w:r>
      <w:r w:rsidRPr="00362AB2">
        <w:rPr>
          <w:sz w:val="28"/>
          <w:szCs w:val="28"/>
          <w:lang w:val="ro-RO"/>
        </w:rPr>
        <w:t>ile acordării asisten</w:t>
      </w:r>
      <w:r w:rsidR="00D1595A" w:rsidRPr="00362AB2">
        <w:rPr>
          <w:sz w:val="28"/>
          <w:szCs w:val="28"/>
          <w:lang w:val="ro-RO"/>
        </w:rPr>
        <w:t>ţ</w:t>
      </w:r>
      <w:r w:rsidRPr="00362AB2">
        <w:rPr>
          <w:sz w:val="28"/>
          <w:szCs w:val="28"/>
          <w:lang w:val="ro-RO"/>
        </w:rPr>
        <w:t xml:space="preserve">ei juridice garantate de stat </w:t>
      </w:r>
      <w:r w:rsidR="00362AB2">
        <w:rPr>
          <w:sz w:val="28"/>
          <w:szCs w:val="28"/>
          <w:lang w:val="ro-RO"/>
        </w:rPr>
        <w:t xml:space="preserve">persoanelor din </w:t>
      </w:r>
      <w:r w:rsidRPr="00362AB2">
        <w:rPr>
          <w:sz w:val="28"/>
          <w:szCs w:val="28"/>
          <w:lang w:val="ro-RO"/>
        </w:rPr>
        <w:t>grupuril</w:t>
      </w:r>
      <w:r w:rsidR="00362AB2">
        <w:rPr>
          <w:sz w:val="28"/>
          <w:szCs w:val="28"/>
          <w:lang w:val="ro-RO"/>
        </w:rPr>
        <w:t>e</w:t>
      </w:r>
      <w:r w:rsidRPr="00362AB2">
        <w:rPr>
          <w:sz w:val="28"/>
          <w:szCs w:val="28"/>
          <w:lang w:val="ro-RO"/>
        </w:rPr>
        <w:t xml:space="preserve"> vulnerabile (8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Ac</w:t>
      </w:r>
      <w:r w:rsidR="00D1595A" w:rsidRPr="00362AB2">
        <w:rPr>
          <w:sz w:val="28"/>
          <w:szCs w:val="28"/>
          <w:lang w:val="ro-RO"/>
        </w:rPr>
        <w:t>ţ</w:t>
      </w:r>
      <w:r w:rsidRPr="00362AB2">
        <w:rPr>
          <w:sz w:val="28"/>
          <w:szCs w:val="28"/>
          <w:lang w:val="ro-RO"/>
        </w:rPr>
        <w:t>iuni de interes public (4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Reprezentarea holistică a intereselor beneficiarului de asisten</w:t>
      </w:r>
      <w:r w:rsidR="00D1595A" w:rsidRPr="00362AB2">
        <w:rPr>
          <w:sz w:val="28"/>
          <w:szCs w:val="28"/>
          <w:lang w:val="ro-RO"/>
        </w:rPr>
        <w:t>ţ</w:t>
      </w:r>
      <w:r w:rsidRPr="00362AB2">
        <w:rPr>
          <w:sz w:val="28"/>
          <w:szCs w:val="28"/>
          <w:lang w:val="ro-RO"/>
        </w:rPr>
        <w:t>ă juridică garantată de stat (4 h);</w:t>
      </w:r>
    </w:p>
    <w:p w:rsidR="00090E93" w:rsidRPr="00362AB2" w:rsidRDefault="00090E93" w:rsidP="00362AB2">
      <w:pPr>
        <w:pStyle w:val="ListParagraph"/>
        <w:numPr>
          <w:ilvl w:val="0"/>
          <w:numId w:val="23"/>
        </w:numPr>
        <w:spacing w:before="0" w:after="0" w:line="240" w:lineRule="auto"/>
        <w:rPr>
          <w:sz w:val="28"/>
          <w:szCs w:val="28"/>
          <w:lang w:val="ro-RO"/>
        </w:rPr>
      </w:pPr>
      <w:r w:rsidRPr="00362AB2">
        <w:rPr>
          <w:sz w:val="28"/>
          <w:szCs w:val="28"/>
          <w:lang w:val="ro-RO"/>
        </w:rPr>
        <w:t>Dileme etice în activitatea avoca</w:t>
      </w:r>
      <w:r w:rsidR="00D1595A" w:rsidRPr="00362AB2">
        <w:rPr>
          <w:sz w:val="28"/>
          <w:szCs w:val="28"/>
          <w:lang w:val="ro-RO"/>
        </w:rPr>
        <w:t>ţ</w:t>
      </w:r>
      <w:r w:rsidRPr="00362AB2">
        <w:rPr>
          <w:sz w:val="28"/>
          <w:szCs w:val="28"/>
          <w:lang w:val="ro-RO"/>
        </w:rPr>
        <w:t>ilor care acordă asisten</w:t>
      </w:r>
      <w:r w:rsidR="00D1595A" w:rsidRPr="00362AB2">
        <w:rPr>
          <w:sz w:val="28"/>
          <w:szCs w:val="28"/>
          <w:lang w:val="ro-RO"/>
        </w:rPr>
        <w:t>ţ</w:t>
      </w:r>
      <w:r w:rsidRPr="00362AB2">
        <w:rPr>
          <w:sz w:val="28"/>
          <w:szCs w:val="28"/>
          <w:lang w:val="ro-RO"/>
        </w:rPr>
        <w:t>ă juridică garantată de stat (8 h);</w:t>
      </w:r>
    </w:p>
    <w:p w:rsidR="00090E93" w:rsidRPr="001376F7" w:rsidRDefault="00090E93" w:rsidP="00090E93">
      <w:pPr>
        <w:rPr>
          <w:sz w:val="28"/>
          <w:szCs w:val="28"/>
          <w:lang w:val="ro-RO"/>
        </w:rPr>
      </w:pPr>
    </w:p>
    <w:p w:rsidR="00090E93" w:rsidRPr="001376F7" w:rsidRDefault="00090E93" w:rsidP="00090E93">
      <w:pPr>
        <w:numPr>
          <w:ilvl w:val="0"/>
          <w:numId w:val="8"/>
        </w:numPr>
        <w:rPr>
          <w:b/>
          <w:sz w:val="28"/>
          <w:szCs w:val="28"/>
          <w:lang w:val="ro-RO"/>
        </w:rPr>
      </w:pPr>
      <w:r w:rsidRPr="001376F7">
        <w:rPr>
          <w:b/>
          <w:sz w:val="28"/>
          <w:szCs w:val="28"/>
          <w:lang w:val="ro-RO"/>
        </w:rPr>
        <w:t>Subiecte specifice pentru avoca</w:t>
      </w:r>
      <w:r w:rsidR="00D1595A" w:rsidRPr="001376F7">
        <w:rPr>
          <w:b/>
          <w:sz w:val="28"/>
          <w:szCs w:val="28"/>
          <w:lang w:val="ro-RO"/>
        </w:rPr>
        <w:t>ţ</w:t>
      </w:r>
      <w:r w:rsidRPr="001376F7">
        <w:rPr>
          <w:b/>
          <w:sz w:val="28"/>
          <w:szCs w:val="28"/>
          <w:lang w:val="ro-RO"/>
        </w:rPr>
        <w:t>ii specializa</w:t>
      </w:r>
      <w:r w:rsidR="00D1595A" w:rsidRPr="001376F7">
        <w:rPr>
          <w:b/>
          <w:sz w:val="28"/>
          <w:szCs w:val="28"/>
          <w:lang w:val="ro-RO"/>
        </w:rPr>
        <w:t>ţ</w:t>
      </w:r>
      <w:r w:rsidRPr="001376F7">
        <w:rPr>
          <w:b/>
          <w:sz w:val="28"/>
          <w:szCs w:val="28"/>
          <w:lang w:val="ro-RO"/>
        </w:rPr>
        <w:t>i:</w:t>
      </w:r>
    </w:p>
    <w:p w:rsidR="00362AB2" w:rsidRPr="00362AB2" w:rsidRDefault="00362AB2" w:rsidP="00362AB2">
      <w:pPr>
        <w:pStyle w:val="ListParagraph"/>
        <w:numPr>
          <w:ilvl w:val="0"/>
          <w:numId w:val="24"/>
        </w:numPr>
        <w:spacing w:before="0" w:after="0" w:line="240" w:lineRule="auto"/>
        <w:contextualSpacing/>
        <w:rPr>
          <w:sz w:val="28"/>
          <w:szCs w:val="28"/>
          <w:lang w:val="ro-RO"/>
        </w:rPr>
      </w:pPr>
      <w:r w:rsidRPr="00362AB2">
        <w:rPr>
          <w:sz w:val="28"/>
          <w:szCs w:val="28"/>
          <w:lang w:val="ro-RO"/>
        </w:rPr>
        <w:lastRenderedPageBreak/>
        <w:t>pentru avocaţii specializaţi</w:t>
      </w:r>
      <w:r w:rsidRPr="00362AB2">
        <w:rPr>
          <w:b/>
          <w:sz w:val="28"/>
          <w:szCs w:val="28"/>
          <w:lang w:val="ro-RO"/>
        </w:rPr>
        <w:t xml:space="preserve">  - </w:t>
      </w:r>
      <w:r w:rsidRPr="00362AB2">
        <w:rPr>
          <w:sz w:val="28"/>
          <w:szCs w:val="28"/>
          <w:lang w:val="ro-RO"/>
        </w:rPr>
        <w:t>în baza curriculelor distincte;</w:t>
      </w:r>
    </w:p>
    <w:p w:rsidR="00362AB2" w:rsidRPr="00362AB2" w:rsidRDefault="00362AB2" w:rsidP="00362AB2">
      <w:pPr>
        <w:pStyle w:val="ListParagraph"/>
        <w:numPr>
          <w:ilvl w:val="0"/>
          <w:numId w:val="24"/>
        </w:numPr>
        <w:spacing w:before="0" w:after="0" w:line="240" w:lineRule="auto"/>
        <w:contextualSpacing/>
        <w:rPr>
          <w:sz w:val="28"/>
          <w:szCs w:val="28"/>
          <w:lang w:val="ro-RO"/>
        </w:rPr>
      </w:pPr>
      <w:r w:rsidRPr="00362AB2">
        <w:rPr>
          <w:sz w:val="28"/>
          <w:szCs w:val="28"/>
          <w:lang w:val="ro-RO"/>
        </w:rPr>
        <w:t>pentru alţi avocaţi – în funcţie de interesul manifestat şi disponibilitatea resurselor.</w:t>
      </w:r>
    </w:p>
    <w:p w:rsidR="00090E93" w:rsidRPr="001376F7" w:rsidRDefault="00090E93" w:rsidP="00090E93">
      <w:pPr>
        <w:ind w:left="360"/>
        <w:rPr>
          <w:sz w:val="28"/>
          <w:szCs w:val="28"/>
          <w:lang w:val="ro-RO"/>
        </w:rPr>
      </w:pPr>
    </w:p>
    <w:p w:rsidR="00090E93" w:rsidRPr="001376F7" w:rsidRDefault="00090E93" w:rsidP="00090E93">
      <w:pPr>
        <w:numPr>
          <w:ilvl w:val="0"/>
          <w:numId w:val="8"/>
        </w:numPr>
        <w:rPr>
          <w:b/>
          <w:sz w:val="28"/>
          <w:szCs w:val="28"/>
          <w:lang w:val="ro-RO"/>
        </w:rPr>
      </w:pPr>
      <w:r w:rsidRPr="001376F7">
        <w:rPr>
          <w:b/>
          <w:sz w:val="28"/>
          <w:szCs w:val="28"/>
          <w:lang w:val="ro-RO"/>
        </w:rPr>
        <w:t>Cerin</w:t>
      </w:r>
      <w:r w:rsidR="00D1595A" w:rsidRPr="001376F7">
        <w:rPr>
          <w:b/>
          <w:sz w:val="28"/>
          <w:szCs w:val="28"/>
          <w:lang w:val="ro-RO"/>
        </w:rPr>
        <w:t>ţ</w:t>
      </w:r>
      <w:r w:rsidRPr="001376F7">
        <w:rPr>
          <w:b/>
          <w:sz w:val="28"/>
          <w:szCs w:val="28"/>
          <w:lang w:val="ro-RO"/>
        </w:rPr>
        <w:t>e fa</w:t>
      </w:r>
      <w:r w:rsidR="00D1595A" w:rsidRPr="001376F7">
        <w:rPr>
          <w:b/>
          <w:sz w:val="28"/>
          <w:szCs w:val="28"/>
          <w:lang w:val="ro-RO"/>
        </w:rPr>
        <w:t>ţ</w:t>
      </w:r>
      <w:r w:rsidRPr="001376F7">
        <w:rPr>
          <w:b/>
          <w:sz w:val="28"/>
          <w:szCs w:val="28"/>
          <w:lang w:val="ro-RO"/>
        </w:rPr>
        <w:t>ă de formatori:</w:t>
      </w:r>
    </w:p>
    <w:p w:rsidR="00090E93" w:rsidRPr="001376F7" w:rsidRDefault="00090E93" w:rsidP="00090E93">
      <w:pPr>
        <w:numPr>
          <w:ilvl w:val="1"/>
          <w:numId w:val="8"/>
        </w:numPr>
        <w:rPr>
          <w:sz w:val="28"/>
          <w:szCs w:val="28"/>
          <w:lang w:val="ro-RO"/>
        </w:rPr>
      </w:pPr>
      <w:r w:rsidRPr="001376F7">
        <w:rPr>
          <w:sz w:val="28"/>
          <w:szCs w:val="28"/>
          <w:lang w:val="ro-RO"/>
        </w:rPr>
        <w:t>acti</w:t>
      </w:r>
      <w:r w:rsidR="00034767" w:rsidRPr="001376F7">
        <w:rPr>
          <w:sz w:val="28"/>
          <w:szCs w:val="28"/>
          <w:lang w:val="ro-RO"/>
        </w:rPr>
        <w:t>vi</w:t>
      </w:r>
      <w:r w:rsidRPr="001376F7">
        <w:rPr>
          <w:sz w:val="28"/>
          <w:szCs w:val="28"/>
          <w:lang w:val="ro-RO"/>
        </w:rPr>
        <w:t>tate de cel pu</w:t>
      </w:r>
      <w:r w:rsidR="00D1595A" w:rsidRPr="001376F7">
        <w:rPr>
          <w:sz w:val="28"/>
          <w:szCs w:val="28"/>
          <w:lang w:val="ro-RO"/>
        </w:rPr>
        <w:t>ţ</w:t>
      </w:r>
      <w:r w:rsidRPr="001376F7">
        <w:rPr>
          <w:sz w:val="28"/>
          <w:szCs w:val="28"/>
          <w:lang w:val="ro-RO"/>
        </w:rPr>
        <w:t>in 5 ani în calitate de avocat;</w:t>
      </w:r>
    </w:p>
    <w:p w:rsidR="00090E93" w:rsidRPr="001376F7" w:rsidRDefault="00090E93" w:rsidP="00090E93">
      <w:pPr>
        <w:numPr>
          <w:ilvl w:val="1"/>
          <w:numId w:val="8"/>
        </w:numPr>
        <w:rPr>
          <w:sz w:val="28"/>
          <w:szCs w:val="28"/>
          <w:lang w:val="ro-RO"/>
        </w:rPr>
      </w:pPr>
      <w:r w:rsidRPr="001376F7">
        <w:rPr>
          <w:sz w:val="28"/>
          <w:szCs w:val="28"/>
          <w:lang w:val="ro-RO"/>
        </w:rPr>
        <w:t>abilită</w:t>
      </w:r>
      <w:r w:rsidR="00D1595A" w:rsidRPr="001376F7">
        <w:rPr>
          <w:sz w:val="28"/>
          <w:szCs w:val="28"/>
          <w:lang w:val="ro-RO"/>
        </w:rPr>
        <w:t>ţ</w:t>
      </w:r>
      <w:r w:rsidRPr="001376F7">
        <w:rPr>
          <w:sz w:val="28"/>
          <w:szCs w:val="28"/>
          <w:lang w:val="ro-RO"/>
        </w:rPr>
        <w:t xml:space="preserve">i de comunicare, responsabilitate </w:t>
      </w:r>
      <w:r w:rsidR="00D1595A" w:rsidRPr="001376F7">
        <w:rPr>
          <w:sz w:val="28"/>
          <w:szCs w:val="28"/>
          <w:lang w:val="ro-RO"/>
        </w:rPr>
        <w:t>ş</w:t>
      </w:r>
      <w:r w:rsidRPr="001376F7">
        <w:rPr>
          <w:sz w:val="28"/>
          <w:szCs w:val="28"/>
          <w:lang w:val="ro-RO"/>
        </w:rPr>
        <w:t>i diligen</w:t>
      </w:r>
      <w:r w:rsidR="00D1595A" w:rsidRPr="001376F7">
        <w:rPr>
          <w:sz w:val="28"/>
          <w:szCs w:val="28"/>
          <w:lang w:val="ro-RO"/>
        </w:rPr>
        <w:t>ţ</w:t>
      </w:r>
      <w:r w:rsidRPr="001376F7">
        <w:rPr>
          <w:sz w:val="28"/>
          <w:szCs w:val="28"/>
          <w:lang w:val="ro-RO"/>
        </w:rPr>
        <w:t>ă profesională;</w:t>
      </w:r>
    </w:p>
    <w:p w:rsidR="00090E93" w:rsidRPr="001376F7" w:rsidRDefault="00090E93" w:rsidP="00090E93">
      <w:pPr>
        <w:numPr>
          <w:ilvl w:val="1"/>
          <w:numId w:val="8"/>
        </w:numPr>
        <w:rPr>
          <w:sz w:val="28"/>
          <w:szCs w:val="28"/>
          <w:lang w:val="ro-RO"/>
        </w:rPr>
      </w:pPr>
      <w:r w:rsidRPr="001376F7">
        <w:rPr>
          <w:sz w:val="28"/>
          <w:szCs w:val="28"/>
          <w:lang w:val="ro-RO"/>
        </w:rPr>
        <w:t>de</w:t>
      </w:r>
      <w:r w:rsidR="00D1595A" w:rsidRPr="001376F7">
        <w:rPr>
          <w:sz w:val="28"/>
          <w:szCs w:val="28"/>
          <w:lang w:val="ro-RO"/>
        </w:rPr>
        <w:t>ţ</w:t>
      </w:r>
      <w:r w:rsidRPr="001376F7">
        <w:rPr>
          <w:sz w:val="28"/>
          <w:szCs w:val="28"/>
          <w:lang w:val="ro-RO"/>
        </w:rPr>
        <w:t xml:space="preserve">inerea titlului didactic, a gradului </w:t>
      </w:r>
      <w:r w:rsidR="00D1595A" w:rsidRPr="001376F7">
        <w:rPr>
          <w:sz w:val="28"/>
          <w:szCs w:val="28"/>
          <w:lang w:val="ro-RO"/>
        </w:rPr>
        <w:t>ş</w:t>
      </w:r>
      <w:r w:rsidRPr="001376F7">
        <w:rPr>
          <w:sz w:val="28"/>
          <w:szCs w:val="28"/>
          <w:lang w:val="ro-RO"/>
        </w:rPr>
        <w:t>tiin</w:t>
      </w:r>
      <w:r w:rsidR="00D1595A" w:rsidRPr="001376F7">
        <w:rPr>
          <w:sz w:val="28"/>
          <w:szCs w:val="28"/>
          <w:lang w:val="ro-RO"/>
        </w:rPr>
        <w:t>ţ</w:t>
      </w:r>
      <w:r w:rsidRPr="001376F7">
        <w:rPr>
          <w:sz w:val="28"/>
          <w:szCs w:val="28"/>
          <w:lang w:val="ro-RO"/>
        </w:rPr>
        <w:t>ific sau a unei func</w:t>
      </w:r>
      <w:r w:rsidR="00D1595A" w:rsidRPr="001376F7">
        <w:rPr>
          <w:sz w:val="28"/>
          <w:szCs w:val="28"/>
          <w:lang w:val="ro-RO"/>
        </w:rPr>
        <w:t>ţ</w:t>
      </w:r>
      <w:r w:rsidRPr="001376F7">
        <w:rPr>
          <w:sz w:val="28"/>
          <w:szCs w:val="28"/>
          <w:lang w:val="ro-RO"/>
        </w:rPr>
        <w:t>ii manageriale în sistemul de asisten</w:t>
      </w:r>
      <w:r w:rsidR="00D1595A" w:rsidRPr="001376F7">
        <w:rPr>
          <w:sz w:val="28"/>
          <w:szCs w:val="28"/>
          <w:lang w:val="ro-RO"/>
        </w:rPr>
        <w:t>ţ</w:t>
      </w:r>
      <w:r w:rsidRPr="001376F7">
        <w:rPr>
          <w:sz w:val="28"/>
          <w:szCs w:val="28"/>
          <w:lang w:val="ro-RO"/>
        </w:rPr>
        <w:t xml:space="preserve">ă juridică garantată de stat; </w:t>
      </w:r>
    </w:p>
    <w:p w:rsidR="00090E93" w:rsidRPr="001376F7" w:rsidRDefault="00090E93" w:rsidP="00090E93">
      <w:pPr>
        <w:numPr>
          <w:ilvl w:val="1"/>
          <w:numId w:val="8"/>
        </w:numPr>
        <w:rPr>
          <w:sz w:val="28"/>
          <w:szCs w:val="28"/>
          <w:lang w:val="ro-RO"/>
        </w:rPr>
      </w:pPr>
      <w:r w:rsidRPr="001376F7">
        <w:rPr>
          <w:sz w:val="28"/>
          <w:szCs w:val="28"/>
          <w:lang w:val="ro-RO"/>
        </w:rPr>
        <w:t>activitatea în calitate de avocat care acordă asisten</w:t>
      </w:r>
      <w:r w:rsidR="00D1595A" w:rsidRPr="001376F7">
        <w:rPr>
          <w:sz w:val="28"/>
          <w:szCs w:val="28"/>
          <w:lang w:val="ro-RO"/>
        </w:rPr>
        <w:t>ţ</w:t>
      </w:r>
      <w:r w:rsidRPr="001376F7">
        <w:rPr>
          <w:sz w:val="28"/>
          <w:szCs w:val="28"/>
          <w:lang w:val="ro-RO"/>
        </w:rPr>
        <w:t>ă juridică garantată de stat constituie un avantaj;</w:t>
      </w:r>
    </w:p>
    <w:p w:rsidR="00090E93" w:rsidRPr="001376F7" w:rsidRDefault="00090E93" w:rsidP="00090E93">
      <w:pPr>
        <w:numPr>
          <w:ilvl w:val="1"/>
          <w:numId w:val="8"/>
        </w:numPr>
        <w:rPr>
          <w:sz w:val="28"/>
          <w:szCs w:val="28"/>
          <w:lang w:val="ro-RO"/>
        </w:rPr>
      </w:pPr>
      <w:r w:rsidRPr="001376F7">
        <w:rPr>
          <w:sz w:val="28"/>
          <w:szCs w:val="28"/>
          <w:lang w:val="ro-RO"/>
        </w:rPr>
        <w:t>experien</w:t>
      </w:r>
      <w:r w:rsidR="00D1595A" w:rsidRPr="001376F7">
        <w:rPr>
          <w:sz w:val="28"/>
          <w:szCs w:val="28"/>
          <w:lang w:val="ro-RO"/>
        </w:rPr>
        <w:t>ţ</w:t>
      </w:r>
      <w:r w:rsidRPr="001376F7">
        <w:rPr>
          <w:sz w:val="28"/>
          <w:szCs w:val="28"/>
          <w:lang w:val="ro-RO"/>
        </w:rPr>
        <w:t xml:space="preserve">ă în domeniul </w:t>
      </w:r>
      <w:r w:rsidR="007D6B27" w:rsidRPr="001376F7">
        <w:rPr>
          <w:sz w:val="28"/>
          <w:szCs w:val="28"/>
          <w:lang w:val="ro-RO"/>
        </w:rPr>
        <w:t>indicat ca subiect de instruire.</w:t>
      </w:r>
    </w:p>
    <w:p w:rsidR="00090E93" w:rsidRPr="001376F7" w:rsidRDefault="00090E93" w:rsidP="00090E93">
      <w:pPr>
        <w:ind w:left="1080"/>
        <w:rPr>
          <w:sz w:val="28"/>
          <w:szCs w:val="28"/>
          <w:lang w:val="ro-RO"/>
        </w:rPr>
      </w:pPr>
    </w:p>
    <w:p w:rsidR="00090E93" w:rsidRPr="001376F7" w:rsidRDefault="00090E93" w:rsidP="00090E93">
      <w:pPr>
        <w:numPr>
          <w:ilvl w:val="0"/>
          <w:numId w:val="8"/>
        </w:numPr>
        <w:rPr>
          <w:sz w:val="28"/>
          <w:szCs w:val="28"/>
          <w:lang w:val="ro-RO"/>
        </w:rPr>
      </w:pPr>
      <w:r w:rsidRPr="001376F7">
        <w:rPr>
          <w:b/>
          <w:sz w:val="28"/>
          <w:szCs w:val="28"/>
          <w:lang w:val="ro-RO"/>
        </w:rPr>
        <w:t xml:space="preserve">Responsabil de organizare: </w:t>
      </w:r>
      <w:r w:rsidRPr="001376F7">
        <w:rPr>
          <w:sz w:val="28"/>
          <w:szCs w:val="28"/>
          <w:lang w:val="ro-RO"/>
        </w:rPr>
        <w:t xml:space="preserve">aparatul administrativ al CNAJGS </w:t>
      </w:r>
    </w:p>
    <w:p w:rsidR="00090E93" w:rsidRPr="001376F7" w:rsidRDefault="00090E93" w:rsidP="00090E93">
      <w:pPr>
        <w:ind w:left="720"/>
        <w:rPr>
          <w:sz w:val="28"/>
          <w:szCs w:val="28"/>
          <w:lang w:val="ro-RO"/>
        </w:rPr>
      </w:pPr>
      <w:r w:rsidRPr="001376F7">
        <w:rPr>
          <w:sz w:val="28"/>
          <w:szCs w:val="28"/>
          <w:lang w:val="ro-RO"/>
        </w:rPr>
        <w:t>Atribu</w:t>
      </w:r>
      <w:r w:rsidR="00D1595A" w:rsidRPr="001376F7">
        <w:rPr>
          <w:sz w:val="28"/>
          <w:szCs w:val="28"/>
          <w:lang w:val="ro-RO"/>
        </w:rPr>
        <w:t>ţ</w:t>
      </w:r>
      <w:r w:rsidRPr="001376F7">
        <w:rPr>
          <w:sz w:val="28"/>
          <w:szCs w:val="28"/>
          <w:lang w:val="ro-RO"/>
        </w:rPr>
        <w:t>iile aparatului administrativ:</w:t>
      </w:r>
    </w:p>
    <w:p w:rsidR="00090E93" w:rsidRPr="001376F7" w:rsidRDefault="00090E93" w:rsidP="00090E93">
      <w:pPr>
        <w:numPr>
          <w:ilvl w:val="1"/>
          <w:numId w:val="7"/>
        </w:numPr>
        <w:rPr>
          <w:sz w:val="28"/>
          <w:szCs w:val="28"/>
          <w:lang w:val="ro-RO"/>
        </w:rPr>
      </w:pPr>
      <w:r w:rsidRPr="001376F7">
        <w:rPr>
          <w:sz w:val="28"/>
          <w:szCs w:val="28"/>
          <w:lang w:val="ro-RO"/>
        </w:rPr>
        <w:t>identificarea partenerilor de realizare a activită</w:t>
      </w:r>
      <w:r w:rsidR="00D1595A" w:rsidRPr="001376F7">
        <w:rPr>
          <w:sz w:val="28"/>
          <w:szCs w:val="28"/>
          <w:lang w:val="ro-RO"/>
        </w:rPr>
        <w:t>ţ</w:t>
      </w:r>
      <w:r w:rsidRPr="001376F7">
        <w:rPr>
          <w:sz w:val="28"/>
          <w:szCs w:val="28"/>
          <w:lang w:val="ro-RO"/>
        </w:rPr>
        <w:t>ii,</w:t>
      </w:r>
    </w:p>
    <w:p w:rsidR="00090E93" w:rsidRPr="001376F7" w:rsidRDefault="00090E93" w:rsidP="00090E93">
      <w:pPr>
        <w:numPr>
          <w:ilvl w:val="1"/>
          <w:numId w:val="7"/>
        </w:numPr>
        <w:rPr>
          <w:sz w:val="28"/>
          <w:szCs w:val="28"/>
          <w:lang w:val="ro-RO"/>
        </w:rPr>
      </w:pPr>
      <w:r w:rsidRPr="001376F7">
        <w:rPr>
          <w:sz w:val="28"/>
          <w:szCs w:val="28"/>
          <w:lang w:val="ro-RO"/>
        </w:rPr>
        <w:t>selectarea formatorilor (în baza criteriilor indicate),</w:t>
      </w:r>
    </w:p>
    <w:p w:rsidR="00090E93" w:rsidRPr="001376F7" w:rsidRDefault="00090E93" w:rsidP="00090E93">
      <w:pPr>
        <w:numPr>
          <w:ilvl w:val="1"/>
          <w:numId w:val="7"/>
        </w:numPr>
        <w:rPr>
          <w:sz w:val="28"/>
          <w:szCs w:val="28"/>
          <w:lang w:val="ro-RO"/>
        </w:rPr>
      </w:pPr>
      <w:r w:rsidRPr="001376F7">
        <w:rPr>
          <w:sz w:val="28"/>
          <w:szCs w:val="28"/>
          <w:lang w:val="ro-RO"/>
        </w:rPr>
        <w:t>identificarea participan</w:t>
      </w:r>
      <w:r w:rsidR="00D1595A" w:rsidRPr="001376F7">
        <w:rPr>
          <w:sz w:val="28"/>
          <w:szCs w:val="28"/>
          <w:lang w:val="ro-RO"/>
        </w:rPr>
        <w:t>ţ</w:t>
      </w:r>
      <w:r w:rsidRPr="001376F7">
        <w:rPr>
          <w:sz w:val="28"/>
          <w:szCs w:val="28"/>
          <w:lang w:val="ro-RO"/>
        </w:rPr>
        <w:t>ilor (în baza listelor de înscriere),</w:t>
      </w:r>
    </w:p>
    <w:p w:rsidR="00090E93" w:rsidRPr="001376F7" w:rsidRDefault="00090E93" w:rsidP="00090E93">
      <w:pPr>
        <w:numPr>
          <w:ilvl w:val="1"/>
          <w:numId w:val="7"/>
        </w:numPr>
        <w:rPr>
          <w:sz w:val="28"/>
          <w:szCs w:val="28"/>
          <w:lang w:val="ro-RO"/>
        </w:rPr>
      </w:pPr>
      <w:r w:rsidRPr="001376F7">
        <w:rPr>
          <w:sz w:val="28"/>
          <w:szCs w:val="28"/>
          <w:lang w:val="ro-RO"/>
        </w:rPr>
        <w:t>asigurarea logistică a atelierelor de instruire (sală, după caz cazare, alimentare, multiplicare materiale),</w:t>
      </w:r>
    </w:p>
    <w:p w:rsidR="00090E93" w:rsidRPr="001376F7" w:rsidRDefault="00090E93" w:rsidP="00090E93">
      <w:pPr>
        <w:numPr>
          <w:ilvl w:val="1"/>
          <w:numId w:val="7"/>
        </w:numPr>
        <w:rPr>
          <w:sz w:val="28"/>
          <w:szCs w:val="28"/>
          <w:lang w:val="ro-RO"/>
        </w:rPr>
      </w:pPr>
      <w:r w:rsidRPr="001376F7">
        <w:rPr>
          <w:sz w:val="28"/>
          <w:szCs w:val="28"/>
          <w:lang w:val="ro-RO"/>
        </w:rPr>
        <w:t xml:space="preserve">convenirea agendei de instruire </w:t>
      </w:r>
      <w:r w:rsidR="00D1595A" w:rsidRPr="001376F7">
        <w:rPr>
          <w:sz w:val="28"/>
          <w:szCs w:val="28"/>
          <w:lang w:val="ro-RO"/>
        </w:rPr>
        <w:t>ş</w:t>
      </w:r>
      <w:r w:rsidRPr="001376F7">
        <w:rPr>
          <w:sz w:val="28"/>
          <w:szCs w:val="28"/>
          <w:lang w:val="ro-RO"/>
        </w:rPr>
        <w:t>i materialelor didactice cu formatorii,</w:t>
      </w:r>
    </w:p>
    <w:p w:rsidR="00090E93" w:rsidRPr="001376F7" w:rsidRDefault="00090E93" w:rsidP="00090E93">
      <w:pPr>
        <w:numPr>
          <w:ilvl w:val="1"/>
          <w:numId w:val="7"/>
        </w:numPr>
        <w:rPr>
          <w:sz w:val="28"/>
          <w:szCs w:val="28"/>
          <w:lang w:val="ro-RO"/>
        </w:rPr>
      </w:pPr>
      <w:r w:rsidRPr="001376F7">
        <w:rPr>
          <w:sz w:val="28"/>
          <w:szCs w:val="28"/>
          <w:lang w:val="ro-RO"/>
        </w:rPr>
        <w:t>eliberarea certificatelor de confirmare a participării la activită</w:t>
      </w:r>
      <w:r w:rsidR="00D1595A" w:rsidRPr="001376F7">
        <w:rPr>
          <w:sz w:val="28"/>
          <w:szCs w:val="28"/>
          <w:lang w:val="ro-RO"/>
        </w:rPr>
        <w:t>ţ</w:t>
      </w:r>
      <w:r w:rsidRPr="001376F7">
        <w:rPr>
          <w:sz w:val="28"/>
          <w:szCs w:val="28"/>
          <w:lang w:val="ro-RO"/>
        </w:rPr>
        <w:t>i de instruire,</w:t>
      </w:r>
    </w:p>
    <w:p w:rsidR="006749BB" w:rsidRPr="001376F7" w:rsidRDefault="00090E93" w:rsidP="00090E93">
      <w:pPr>
        <w:numPr>
          <w:ilvl w:val="1"/>
          <w:numId w:val="7"/>
        </w:numPr>
        <w:rPr>
          <w:sz w:val="28"/>
          <w:szCs w:val="28"/>
          <w:lang w:val="ro-RO"/>
        </w:rPr>
      </w:pPr>
      <w:r w:rsidRPr="001376F7">
        <w:rPr>
          <w:sz w:val="28"/>
          <w:szCs w:val="28"/>
          <w:lang w:val="ro-RO"/>
        </w:rPr>
        <w:t>recep</w:t>
      </w:r>
      <w:r w:rsidR="00D1595A" w:rsidRPr="001376F7">
        <w:rPr>
          <w:sz w:val="28"/>
          <w:szCs w:val="28"/>
          <w:lang w:val="ro-RO"/>
        </w:rPr>
        <w:t>ţ</w:t>
      </w:r>
      <w:r w:rsidRPr="001376F7">
        <w:rPr>
          <w:sz w:val="28"/>
          <w:szCs w:val="28"/>
          <w:lang w:val="ro-RO"/>
        </w:rPr>
        <w:t xml:space="preserve">ionarea rapoartelor de activitate </w:t>
      </w:r>
      <w:r w:rsidR="00D1595A" w:rsidRPr="001376F7">
        <w:rPr>
          <w:sz w:val="28"/>
          <w:szCs w:val="28"/>
          <w:lang w:val="ro-RO"/>
        </w:rPr>
        <w:t>ş</w:t>
      </w:r>
      <w:r w:rsidRPr="001376F7">
        <w:rPr>
          <w:sz w:val="28"/>
          <w:szCs w:val="28"/>
          <w:lang w:val="ro-RO"/>
        </w:rPr>
        <w:t>i remunerarea formatorilor</w:t>
      </w:r>
      <w:r w:rsidR="006749BB" w:rsidRPr="001376F7">
        <w:rPr>
          <w:sz w:val="28"/>
          <w:szCs w:val="28"/>
          <w:lang w:val="ro-RO"/>
        </w:rPr>
        <w:t>;</w:t>
      </w:r>
    </w:p>
    <w:p w:rsidR="00090E93" w:rsidRPr="001376F7" w:rsidRDefault="006749BB" w:rsidP="00090E93">
      <w:pPr>
        <w:numPr>
          <w:ilvl w:val="1"/>
          <w:numId w:val="7"/>
        </w:numPr>
        <w:rPr>
          <w:sz w:val="28"/>
          <w:szCs w:val="28"/>
          <w:lang w:val="ro-RO"/>
        </w:rPr>
      </w:pPr>
      <w:r w:rsidRPr="001376F7">
        <w:rPr>
          <w:sz w:val="28"/>
          <w:szCs w:val="28"/>
          <w:lang w:val="ro-RO"/>
        </w:rPr>
        <w:t>ţinerea evidenţei numărului de ore de instruire continuă</w:t>
      </w:r>
      <w:r w:rsidR="00090E93" w:rsidRPr="001376F7">
        <w:rPr>
          <w:sz w:val="28"/>
          <w:szCs w:val="28"/>
          <w:lang w:val="ro-RO"/>
        </w:rPr>
        <w:t>.</w:t>
      </w:r>
    </w:p>
    <w:p w:rsidR="00090E93" w:rsidRPr="001376F7" w:rsidRDefault="00090E93" w:rsidP="00090E93">
      <w:pPr>
        <w:rPr>
          <w:sz w:val="28"/>
          <w:szCs w:val="28"/>
          <w:lang w:val="ro-RO"/>
        </w:rPr>
      </w:pPr>
    </w:p>
    <w:p w:rsidR="00090E93" w:rsidRPr="001376F7" w:rsidRDefault="00090E93" w:rsidP="00090E93">
      <w:pPr>
        <w:numPr>
          <w:ilvl w:val="0"/>
          <w:numId w:val="8"/>
        </w:numPr>
        <w:rPr>
          <w:b/>
          <w:sz w:val="28"/>
          <w:szCs w:val="28"/>
          <w:lang w:val="ro-RO"/>
        </w:rPr>
      </w:pPr>
      <w:r w:rsidRPr="001376F7">
        <w:rPr>
          <w:b/>
          <w:sz w:val="28"/>
          <w:szCs w:val="28"/>
          <w:lang w:val="ro-RO"/>
        </w:rPr>
        <w:t>Procedura de organizare a activită</w:t>
      </w:r>
      <w:r w:rsidR="00D1595A" w:rsidRPr="001376F7">
        <w:rPr>
          <w:b/>
          <w:sz w:val="28"/>
          <w:szCs w:val="28"/>
          <w:lang w:val="ro-RO"/>
        </w:rPr>
        <w:t>ţ</w:t>
      </w:r>
      <w:r w:rsidRPr="001376F7">
        <w:rPr>
          <w:b/>
          <w:sz w:val="28"/>
          <w:szCs w:val="28"/>
          <w:lang w:val="ro-RO"/>
        </w:rPr>
        <w:t>ilor de instruire continuă:</w:t>
      </w:r>
    </w:p>
    <w:p w:rsidR="00090E93" w:rsidRPr="001376F7" w:rsidRDefault="00090E93" w:rsidP="00090E93">
      <w:pPr>
        <w:numPr>
          <w:ilvl w:val="1"/>
          <w:numId w:val="7"/>
        </w:numPr>
        <w:rPr>
          <w:sz w:val="28"/>
          <w:szCs w:val="28"/>
          <w:lang w:val="ro-RO"/>
        </w:rPr>
      </w:pPr>
      <w:r w:rsidRPr="001376F7">
        <w:rPr>
          <w:sz w:val="28"/>
          <w:szCs w:val="28"/>
          <w:lang w:val="ro-RO"/>
        </w:rPr>
        <w:t xml:space="preserve">anual, subiectele de instruire continuă se </w:t>
      </w:r>
      <w:r w:rsidR="00034767" w:rsidRPr="001376F7">
        <w:rPr>
          <w:sz w:val="28"/>
          <w:szCs w:val="28"/>
          <w:lang w:val="ro-RO"/>
        </w:rPr>
        <w:t>plasează</w:t>
      </w:r>
      <w:r w:rsidRPr="001376F7">
        <w:rPr>
          <w:sz w:val="28"/>
          <w:szCs w:val="28"/>
          <w:lang w:val="ro-RO"/>
        </w:rPr>
        <w:t xml:space="preserve"> pe pagina web a CNAJGS;</w:t>
      </w:r>
    </w:p>
    <w:p w:rsidR="00090E93" w:rsidRPr="001376F7" w:rsidRDefault="00090E93" w:rsidP="00090E93">
      <w:pPr>
        <w:numPr>
          <w:ilvl w:val="1"/>
          <w:numId w:val="7"/>
        </w:numPr>
        <w:rPr>
          <w:sz w:val="28"/>
          <w:szCs w:val="28"/>
          <w:lang w:val="ro-RO"/>
        </w:rPr>
      </w:pPr>
      <w:r w:rsidRPr="001376F7">
        <w:rPr>
          <w:sz w:val="28"/>
          <w:szCs w:val="28"/>
          <w:lang w:val="ro-RO"/>
        </w:rPr>
        <w:t>avoca</w:t>
      </w:r>
      <w:r w:rsidR="00D1595A" w:rsidRPr="001376F7">
        <w:rPr>
          <w:sz w:val="28"/>
          <w:szCs w:val="28"/>
          <w:lang w:val="ro-RO"/>
        </w:rPr>
        <w:t>ţ</w:t>
      </w:r>
      <w:r w:rsidRPr="001376F7">
        <w:rPr>
          <w:sz w:val="28"/>
          <w:szCs w:val="28"/>
          <w:lang w:val="ro-RO"/>
        </w:rPr>
        <w:t>ii până la data de 01 martie a anului respectiv se înscriu la anumite subiecte de instruire continuă</w:t>
      </w:r>
      <w:r w:rsidR="006749BB" w:rsidRPr="001376F7">
        <w:rPr>
          <w:sz w:val="28"/>
          <w:szCs w:val="28"/>
          <w:lang w:val="ro-RO"/>
        </w:rPr>
        <w:t xml:space="preserve"> în listele de la OT ale CNAJGS</w:t>
      </w:r>
      <w:r w:rsidRPr="001376F7">
        <w:rPr>
          <w:sz w:val="28"/>
          <w:szCs w:val="28"/>
          <w:lang w:val="ro-RO"/>
        </w:rPr>
        <w:t>;</w:t>
      </w:r>
    </w:p>
    <w:p w:rsidR="006749BB" w:rsidRPr="001376F7" w:rsidRDefault="006749BB" w:rsidP="00090E93">
      <w:pPr>
        <w:numPr>
          <w:ilvl w:val="1"/>
          <w:numId w:val="7"/>
        </w:numPr>
        <w:rPr>
          <w:sz w:val="28"/>
          <w:szCs w:val="28"/>
          <w:lang w:val="ro-RO"/>
        </w:rPr>
      </w:pPr>
      <w:r w:rsidRPr="001376F7">
        <w:rPr>
          <w:sz w:val="28"/>
          <w:szCs w:val="28"/>
          <w:lang w:val="ro-RO"/>
        </w:rPr>
        <w:t>Aparatul Administrativ al CNAJGS formează grupurile de instruire, în baza listelor prezentate de către OT ale CNAJGS;</w:t>
      </w:r>
    </w:p>
    <w:p w:rsidR="00090E93" w:rsidRPr="001376F7" w:rsidRDefault="00090E93" w:rsidP="00090E93">
      <w:pPr>
        <w:numPr>
          <w:ilvl w:val="1"/>
          <w:numId w:val="7"/>
        </w:numPr>
        <w:rPr>
          <w:sz w:val="28"/>
          <w:szCs w:val="28"/>
          <w:lang w:val="ro-RO"/>
        </w:rPr>
      </w:pPr>
      <w:r w:rsidRPr="001376F7">
        <w:rPr>
          <w:sz w:val="28"/>
          <w:szCs w:val="28"/>
          <w:lang w:val="ro-RO"/>
        </w:rPr>
        <w:t>în func</w:t>
      </w:r>
      <w:r w:rsidR="00D1595A" w:rsidRPr="001376F7">
        <w:rPr>
          <w:sz w:val="28"/>
          <w:szCs w:val="28"/>
          <w:lang w:val="ro-RO"/>
        </w:rPr>
        <w:t>ţ</w:t>
      </w:r>
      <w:r w:rsidRPr="001376F7">
        <w:rPr>
          <w:sz w:val="28"/>
          <w:szCs w:val="28"/>
          <w:lang w:val="ro-RO"/>
        </w:rPr>
        <w:t>ie de numărul de solicitan</w:t>
      </w:r>
      <w:r w:rsidR="00D1595A" w:rsidRPr="001376F7">
        <w:rPr>
          <w:sz w:val="28"/>
          <w:szCs w:val="28"/>
          <w:lang w:val="ro-RO"/>
        </w:rPr>
        <w:t>ţ</w:t>
      </w:r>
      <w:r w:rsidRPr="001376F7">
        <w:rPr>
          <w:sz w:val="28"/>
          <w:szCs w:val="28"/>
          <w:lang w:val="ro-RO"/>
        </w:rPr>
        <w:t>i la anumit subiect, se formează grupurile de instruire;</w:t>
      </w:r>
    </w:p>
    <w:p w:rsidR="00090E93" w:rsidRDefault="00090E93" w:rsidP="00034767">
      <w:pPr>
        <w:numPr>
          <w:ilvl w:val="1"/>
          <w:numId w:val="7"/>
        </w:numPr>
        <w:rPr>
          <w:sz w:val="28"/>
          <w:szCs w:val="28"/>
          <w:lang w:val="ro-RO"/>
        </w:rPr>
      </w:pPr>
      <w:r w:rsidRPr="001376F7">
        <w:rPr>
          <w:sz w:val="28"/>
          <w:szCs w:val="28"/>
          <w:lang w:val="ro-RO"/>
        </w:rPr>
        <w:t>activitatea de instruire se realizează la interval de 3 luni de la f</w:t>
      </w:r>
      <w:r w:rsidR="00362AB2">
        <w:rPr>
          <w:sz w:val="28"/>
          <w:szCs w:val="28"/>
          <w:lang w:val="ro-RO"/>
        </w:rPr>
        <w:t>ormarea grupurilor de instruire.</w:t>
      </w: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Pr="00A44A5B" w:rsidRDefault="00A44A5B" w:rsidP="00A44A5B">
      <w:pPr>
        <w:jc w:val="center"/>
        <w:rPr>
          <w:b/>
          <w:lang w:val="ro-RO"/>
        </w:rPr>
      </w:pPr>
      <w:bookmarkStart w:id="0" w:name="_GoBack"/>
      <w:bookmarkEnd w:id="0"/>
      <w:r w:rsidRPr="00A44A5B">
        <w:rPr>
          <w:b/>
          <w:lang w:val="ro-RO"/>
        </w:rPr>
        <w:lastRenderedPageBreak/>
        <w:t>ANEXA 1</w:t>
      </w:r>
    </w:p>
    <w:p w:rsidR="00A44A5B" w:rsidRPr="00A44A5B" w:rsidRDefault="00A44A5B" w:rsidP="00A44A5B">
      <w:pPr>
        <w:jc w:val="center"/>
        <w:rPr>
          <w:b/>
          <w:lang w:val="ro-RO"/>
        </w:rPr>
      </w:pPr>
    </w:p>
    <w:p w:rsidR="00A44A5B" w:rsidRPr="00A44A5B" w:rsidRDefault="00A44A5B" w:rsidP="00A44A5B">
      <w:pPr>
        <w:jc w:val="center"/>
        <w:rPr>
          <w:b/>
          <w:lang w:val="ro-RO"/>
        </w:rPr>
      </w:pPr>
      <w:r w:rsidRPr="00A44A5B">
        <w:rPr>
          <w:b/>
          <w:lang w:val="ro-RO"/>
        </w:rPr>
        <w:t>CONTEXTUL REALIZĂRII ACTIVITĂŢILOR DE INSTRUIRE A AVOCAŢILOR ÎN REPUBLICA MOLDOVA</w:t>
      </w:r>
    </w:p>
    <w:p w:rsidR="00A44A5B" w:rsidRPr="00A44A5B" w:rsidRDefault="00A44A5B" w:rsidP="00A44A5B">
      <w:pPr>
        <w:ind w:left="1080"/>
        <w:rPr>
          <w:b/>
          <w:lang w:val="ro-RO"/>
        </w:rPr>
      </w:pPr>
    </w:p>
    <w:p w:rsidR="00A44A5B" w:rsidRPr="00A44A5B" w:rsidRDefault="00A44A5B" w:rsidP="00A44A5B">
      <w:pPr>
        <w:jc w:val="center"/>
        <w:rPr>
          <w:sz w:val="20"/>
          <w:szCs w:val="20"/>
          <w:lang w:val="ro-RO"/>
        </w:rPr>
      </w:pPr>
      <w:r w:rsidRPr="00A44A5B">
        <w:rPr>
          <w:sz w:val="20"/>
          <w:szCs w:val="20"/>
          <w:lang w:val="ro-RO"/>
        </w:rPr>
        <w:t>(sinteză întocmită de către Olga RABEI, consultant în cadrul aparatului administrativ al CNAJGS)</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Activităţile de instruire în sectorul justiţiei în Republica Moldova sunt organizate cu precădere de către donatorii externi, grupul ţintă reprezentându-l atât avocaţii, cât şi judecătorii, procurorii, ofiţerii de urmărire penală, jurişti, jurnalişti, reprezentanţi ai societăţii civile etc.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Astfel, printre subiecţii implicaţi în organizarea cursurilor de instruire în Republica Moldova în domeniul justiţiei, cu tematici conexe acestui segment, putem evidenţia</w:t>
      </w:r>
      <w:r w:rsidRPr="00A44A5B">
        <w:rPr>
          <w:vertAlign w:val="superscript"/>
          <w:lang w:val="ro-RO"/>
        </w:rPr>
        <w:footnoteReference w:id="4"/>
      </w:r>
      <w:r w:rsidRPr="00A44A5B">
        <w:rPr>
          <w:lang w:val="ro-RO"/>
        </w:rPr>
        <w:t xml:space="preserve">: </w:t>
      </w:r>
    </w:p>
    <w:p w:rsidR="00A44A5B" w:rsidRPr="00A44A5B" w:rsidRDefault="00A44A5B" w:rsidP="00A44A5B">
      <w:pPr>
        <w:rPr>
          <w:lang w:val="ro-RO"/>
        </w:rPr>
      </w:pPr>
    </w:p>
    <w:p w:rsidR="00A44A5B" w:rsidRPr="00A44A5B" w:rsidRDefault="00A44A5B" w:rsidP="00A44A5B">
      <w:pPr>
        <w:numPr>
          <w:ilvl w:val="0"/>
          <w:numId w:val="25"/>
        </w:numPr>
        <w:rPr>
          <w:b/>
          <w:i/>
          <w:lang w:val="ro-RO"/>
        </w:rPr>
      </w:pPr>
      <w:r w:rsidRPr="00A44A5B">
        <w:rPr>
          <w:b/>
          <w:i/>
          <w:lang w:val="ro-RO"/>
        </w:rPr>
        <w:t>Misiunea OSCE în Moldova</w:t>
      </w:r>
    </w:p>
    <w:p w:rsidR="00A44A5B" w:rsidRPr="00A44A5B" w:rsidRDefault="00A44A5B" w:rsidP="00A44A5B">
      <w:pPr>
        <w:rPr>
          <w:lang w:val="ro-RO"/>
        </w:rPr>
      </w:pPr>
    </w:p>
    <w:p w:rsidR="00A44A5B" w:rsidRPr="00A44A5B" w:rsidRDefault="00A44A5B" w:rsidP="00A44A5B">
      <w:pPr>
        <w:jc w:val="both"/>
        <w:rPr>
          <w:lang w:val="ro-RO"/>
        </w:rPr>
      </w:pPr>
      <w:r w:rsidRPr="00A44A5B">
        <w:rPr>
          <w:lang w:val="ro-RO"/>
        </w:rPr>
        <w:t>Conform Raportului Reprezentantului Special al preşedintelui în exerciţiu al OSCE privind problemele de gen, elaborat în urma unei vizite de studiu în Moldova în anul 2011, se constată necesitatea efectuării de instruiri pe segmentul ce vizează violenţa domestică şi combaterea acesteia</w:t>
      </w:r>
      <w:r w:rsidRPr="00A44A5B">
        <w:rPr>
          <w:vertAlign w:val="superscript"/>
          <w:lang w:val="ro-RO"/>
        </w:rPr>
        <w:footnoteReference w:id="5"/>
      </w:r>
      <w:r w:rsidRPr="00A44A5B">
        <w:rPr>
          <w:lang w:val="ro-RO"/>
        </w:rPr>
        <w:t xml:space="preserve">. În această direcţie, de exemplu, la 12 decembrie 2011 a fost organizat seminarul privind practicile legale în combaterea violenţei domestice, având în calitate de participanţi 30 de judecători, procurori, ofiţeri de UP şi avocaţi.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Un alt segment ce formează obiectul training-urilor organizate de către Misiunea OSCE în Moldova, îl reprezintă combaterea traficului de fiinţe umane. În acest sens, conform Raportului reprezentantului special OSCE şi coordonator pentru combaterea traficului de fiinţe umane, elaborat în urma unei vizite de studiu în RM în anul 2011</w:t>
      </w:r>
      <w:r w:rsidRPr="00A44A5B">
        <w:rPr>
          <w:vertAlign w:val="superscript"/>
          <w:lang w:val="ro-RO"/>
        </w:rPr>
        <w:footnoteReference w:id="6"/>
      </w:r>
      <w:r w:rsidRPr="00A44A5B">
        <w:rPr>
          <w:lang w:val="ro-RO"/>
        </w:rPr>
        <w:t>, se formulează recomandarea privind furnizarea de instruiri specifice pentru sporirea capacităţii de reprezentare pro-bono, precum şi instruirea avocaţilor care acordă asistenţă juridică garantată de stat în reprezentarea victimelor traficului de fiinţe umane (aceasta pe lângă necesitate de instruire a procurorilor, ofiţerilor de UP, judecătorilor vis-a-vis de acest subiect).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În acest sens, pe parcursul anilor 2010-2011 Misiunea OSCE în Moldova a instruit mai mult de 300 de judecători, avocaţi, procurori şi ofiţeri de UP, privind gestionarea cauzelor de trafic de fiinţe umane şi violenţă domestică.</w:t>
      </w:r>
      <w:r w:rsidRPr="00A44A5B">
        <w:rPr>
          <w:i/>
          <w:vertAlign w:val="superscript"/>
          <w:lang w:val="ro-RO"/>
        </w:rPr>
        <w:footnoteReference w:id="7"/>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Egalitatea de gen şi nediscriminarea în politicile sectorului de securitate a fost abordată ca tematică în cadrul unui  training organizat în luna noiembrie 2011 de către Misiunea OSCE în Moldova şi Biroul pentru Instituţiile Democratice şi Drepturile Omului, la care participanţii au fost 25 de ofiţeri din cadrul Ministerului apărării.</w:t>
      </w:r>
      <w:r w:rsidRPr="00A44A5B">
        <w:rPr>
          <w:vertAlign w:val="superscript"/>
          <w:lang w:val="ro-RO"/>
        </w:rPr>
        <w:footnoteReference w:id="8"/>
      </w:r>
      <w:r w:rsidRPr="00A44A5B">
        <w:rPr>
          <w:lang w:val="ro-RO"/>
        </w:rPr>
        <w:t xml:space="preserve">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În acest context, menţionăm faptul că Programul Antitrafic şi Gender al Misiunii OSCE Moldova contribuie la implementarea mandatului Misiunii privind democratizarea şi protecţia drepturilor omului în domeniul combaterii traficului de fiinţe umane şi promovării egalităţii genurilor. Misiunea organizează cursuri de instruire pentru judecători, procurori, avocaţi, poliţişti </w:t>
      </w:r>
      <w:r w:rsidRPr="00A44A5B">
        <w:rPr>
          <w:lang w:val="ro-RO"/>
        </w:rPr>
        <w:lastRenderedPageBreak/>
        <w:t>şi asistenţi sociali, la nivel local şi naţional în vederea consolidării capacităţilor de combatere a traficului de fiinţe umane, violenţei în familie şi a abuzului sexual asupra copiilor pe Internet.</w:t>
      </w:r>
      <w:r w:rsidRPr="00A44A5B">
        <w:rPr>
          <w:vertAlign w:val="superscript"/>
          <w:lang w:val="ro-RO"/>
        </w:rPr>
        <w:footnoteReference w:id="9"/>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Proiectul ”Recalificarea personalului militar în rezervă din Republica Moldova”, iniţiat de către Guvernul RM şi Misiunea OSCE Moldova presupune oferirea de asistenţă militarilor care îndeplinesc serviciul prin contract şi ofiţerilor în rezervă pentru ca aceştia să se reintegreze mai uşor social şi profesional după finisarea activităţii militare. Participanţii la proiect îl formează ofiţerii şi subofiţerii Armatei Naţionale, Poliţiei de Frontieră şi Departamentului Trupelor de Carabinieri. În perioada septembrie 2010 – decembrie 2012 s-au desfăşurat 5 faze de instruire, în cadrul cărora 445 de persoane au obţinut noi abilităţi şi cunoştinţe.</w:t>
      </w:r>
      <w:r w:rsidRPr="00A44A5B">
        <w:rPr>
          <w:vertAlign w:val="superscript"/>
          <w:lang w:val="ro-RO"/>
        </w:rPr>
        <w:footnoteReference w:id="10"/>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Misiunea susţine şi instruirea jurnaliştilor, inclusiv la Şcoala de Studii Avansate în Jurnalism din Moldova, care a fost creată în 2006 cu scopul de a îmbunătăţi profesionalismul în mass-media din Moldova.</w:t>
      </w:r>
      <w:r w:rsidRPr="00A44A5B">
        <w:rPr>
          <w:vertAlign w:val="superscript"/>
          <w:lang w:val="ro-RO"/>
        </w:rPr>
        <w:footnoteReference w:id="11"/>
      </w:r>
      <w:r w:rsidRPr="00A44A5B">
        <w:rPr>
          <w:lang w:val="ro-RO"/>
        </w:rPr>
        <w:t xml:space="preserve"> De asemenea, Misiunea OSCE în Moldova şi Biroul Reprezentantului OSCE pentru Libertatea Mass-media (RFOM) desfăşoară în comun cursuri de instruire pentru jurnalişti şi manageri media de pe întreg teritoriul Moldovei, inclusiv din Transnistria şi Găgăuzia, pentru a promova accesul la informaţie, auto-reglementarea mass-media şi dezvoltarea media online profesionistă şi durabilă. Astfel, un exemplu în acest sens este seminarul ce a abordat ca tematică prevederile Convenţiei Europene pentru drepturile şi libertăţile fundamentale ale omului, unde participanţi au fost avocaţi, reprezentanţi ai societăţii civile şi jurnaliştii cu activitatea nemijlocită în Transnistria (27-29 iulie 2012)</w:t>
      </w:r>
      <w:r w:rsidRPr="00A44A5B">
        <w:rPr>
          <w:vertAlign w:val="superscript"/>
          <w:lang w:val="ro-RO"/>
        </w:rPr>
        <w:footnoteReference w:id="12"/>
      </w:r>
      <w:r w:rsidRPr="00A44A5B">
        <w:rPr>
          <w:lang w:val="ro-RO"/>
        </w:rPr>
        <w: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De asemenea, în anul 2012 un curs de instruire organizat de către OSCE Moldova şi IDOM au avut în calitate de participanţi membrii comisiilor locale de monitorizare şi reprezentanţii autorităţilor locale.</w:t>
      </w:r>
      <w:r w:rsidRPr="00A44A5B">
        <w:rPr>
          <w:vertAlign w:val="superscript"/>
          <w:lang w:val="ro-RO"/>
        </w:rPr>
        <w:footnoteReference w:id="13"/>
      </w:r>
      <w:r w:rsidRPr="00A44A5B">
        <w:rPr>
          <w:lang w:val="ro-RO"/>
        </w:rPr>
        <w:t xml:space="preserve"> Cursul dat a oferit posibilitatea participanţilor să dobândească cunoştinţe juridice cu privire la responsabilităţile pe care le deţin, să le îmbunătăţească abilităţile de raportare, precum şi cele practice de monitorizare a tuturor tipurilor de locuri de detenţie, inclusiv comisariate de poliţie, penitenciare şi spitale psihiatrice. </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Misiunea Norvegiană de Experţi pentru Promovarea Supremaţiei Legii în Moldova (NORLAM)</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Scopul principal al Misiunii NORLAM este de a oferi asistenţă în consolidarea competenţelor în sistemul justiţiei şi profesiilor juridice în vederea creşterii eficienţei instituţiilor care garantează drepturile omului şi statului de drept în Republica Moldova.</w:t>
      </w:r>
      <w:r w:rsidRPr="00A44A5B">
        <w:rPr>
          <w:vertAlign w:val="superscript"/>
          <w:lang w:val="ro-RO"/>
        </w:rPr>
        <w:footnoteReference w:id="14"/>
      </w:r>
      <w:r w:rsidRPr="00A44A5B">
        <w:rPr>
          <w:lang w:val="ro-RO"/>
        </w:rPr>
        <w:t xml:space="preserve">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Astfel, pe parcursul anului 2012, NORLAM a efectuat 26 de seminare, care a implicat aprox. 650 participanţi din sectorul justiţiei penale</w:t>
      </w:r>
      <w:r w:rsidRPr="00A44A5B">
        <w:rPr>
          <w:vertAlign w:val="superscript"/>
          <w:lang w:val="ro-RO"/>
        </w:rPr>
        <w:footnoteReference w:id="15"/>
      </w:r>
      <w:r w:rsidRPr="00A44A5B">
        <w:rPr>
          <w:lang w:val="ro-RO"/>
        </w:rPr>
        <w:t xml:space="preserve">. Printre tematicile abordate la training au fost: provocările vis-a-vis de Convenţia Europeană pentru protecţia drepturilor omului şi libertăţilor fundamentale, precum şi Deciziile CtEDO, etica procurorilor, poziţia femeilor şi copiilor în calitate de victime şi martori în cauzele ce vizează abuzul sexual şi violenţa domestică, minorii şi probaţiunea, măsuri speciale de investigare.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lastRenderedPageBreak/>
        <w:t>Pe parcursul anului 2011</w:t>
      </w:r>
      <w:r w:rsidRPr="00A44A5B">
        <w:rPr>
          <w:vertAlign w:val="superscript"/>
          <w:lang w:val="ro-RO"/>
        </w:rPr>
        <w:footnoteReference w:id="16"/>
      </w:r>
      <w:r w:rsidRPr="00A44A5B">
        <w:rPr>
          <w:lang w:val="ro-RO"/>
        </w:rPr>
        <w:t>, de către NORLAM au fost organizate seminare pentru aprox. 200 de avocaţi. De asemenea, în cooperare cu Procuratura Generală, NORLAM a desfăşurat şi un seminar „formare de formatori”, abordându-se tema arestului preventiv. Nu mai puţin important este activitatea de instruire în legătură cu publicarea manualului pentru consilierii de probaţiune, desfăşurându-se 12 zile de seminare pentru aceştia din urmă. Pe parcursul aceluiaşi an, în colaborare cu Institutul Naţional al Justiţiei au fost organizate 3 seminare privind interacţiunea dintre judecători, procurori şi probaţiune, precum şi tematici ce vizează practicile legale, aplicarea deciziilor CtEDO la nivel naţional pentru judecători, procurori şi avocaţi.</w:t>
      </w:r>
    </w:p>
    <w:p w:rsidR="00A44A5B" w:rsidRPr="00A44A5B" w:rsidRDefault="00A44A5B" w:rsidP="00A44A5B">
      <w:pPr>
        <w:jc w:val="both"/>
        <w:rPr>
          <w:lang w:val="ro-RO"/>
        </w:rPr>
      </w:pPr>
    </w:p>
    <w:p w:rsidR="00A44A5B" w:rsidRPr="00A44A5B" w:rsidRDefault="00A44A5B" w:rsidP="00A44A5B">
      <w:pPr>
        <w:jc w:val="both"/>
        <w:rPr>
          <w:iCs/>
          <w:lang w:val="ro-RO"/>
        </w:rPr>
      </w:pPr>
      <w:r w:rsidRPr="00A44A5B">
        <w:rPr>
          <w:lang w:val="ro-RO"/>
        </w:rPr>
        <w:t xml:space="preserve">Actualmente, în curs de realizare sunt desfăşurate seminare în cooperare cu INJ, unde printre participanţi figurează judecătorii, procurorii şi avocaţii. Tematicile propuse sunt următoarele: </w:t>
      </w:r>
      <w:hyperlink r:id="rId23" w:history="1">
        <w:r w:rsidRPr="00A44A5B">
          <w:rPr>
            <w:iCs/>
            <w:color w:val="0000FF"/>
            <w:u w:val="single"/>
            <w:lang w:val="ro-RO"/>
          </w:rPr>
          <w:t>Provocări etice specifice profesiilor juridice</w:t>
        </w:r>
      </w:hyperlink>
      <w:r w:rsidRPr="00A44A5B">
        <w:rPr>
          <w:i/>
          <w:iCs/>
          <w:lang w:val="ro-RO"/>
        </w:rPr>
        <w:t>;</w:t>
      </w:r>
      <w:r w:rsidRPr="00A44A5B">
        <w:rPr>
          <w:i/>
          <w:lang w:val="ro-RO"/>
        </w:rPr>
        <w:t xml:space="preserve"> </w:t>
      </w:r>
      <w:r w:rsidRPr="00A44A5B">
        <w:rPr>
          <w:iCs/>
          <w:lang w:val="ro-RO"/>
        </w:rPr>
        <w:t xml:space="preserve">Protejarea categoriilor vulnerabile de justiţiabili în cadrul procesului penal, </w:t>
      </w:r>
      <w:hyperlink r:id="rId24" w:history="1">
        <w:r w:rsidRPr="00A44A5B">
          <w:rPr>
            <w:iCs/>
            <w:lang w:val="ro-RO"/>
          </w:rPr>
          <w:t>Provocări în investigarea infracţiunilor de trafic de fiinţe umane.  Cooperare internaţională - bune practici şi standarde referitoare la comisia rogatorie</w:t>
        </w:r>
      </w:hyperlink>
      <w:r w:rsidRPr="00A44A5B">
        <w:rPr>
          <w:iCs/>
          <w:vertAlign w:val="superscript"/>
          <w:lang w:val="ro-RO"/>
        </w:rPr>
        <w:footnoteReference w:id="17"/>
      </w:r>
      <w:r w:rsidRPr="00A44A5B">
        <w:rPr>
          <w:iCs/>
          <w:lang w:val="ro-RO"/>
        </w:rPr>
        <w:t xml:space="preserve">. Un nou ciclu al formatului dat de instruire urmează a se desfăşura în toamna anului 2013. </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Programul Naţiunilor Unite pentru Dezvoltare în Moldova (PNUD Moldova)</w:t>
      </w:r>
    </w:p>
    <w:p w:rsidR="00A44A5B" w:rsidRPr="00A44A5B" w:rsidRDefault="00A44A5B" w:rsidP="00A44A5B">
      <w:pPr>
        <w:rPr>
          <w:lang w:val="ro-RO"/>
        </w:rPr>
      </w:pPr>
    </w:p>
    <w:p w:rsidR="00A44A5B" w:rsidRPr="00A44A5B" w:rsidRDefault="00A44A5B" w:rsidP="00A44A5B">
      <w:pPr>
        <w:jc w:val="both"/>
        <w:rPr>
          <w:lang w:val="ro-RO"/>
        </w:rPr>
      </w:pPr>
      <w:r w:rsidRPr="00A44A5B">
        <w:rPr>
          <w:lang w:val="ro-RO"/>
        </w:rPr>
        <w:t>Programul PNUD Moldova pe ţară, pentru anii 2013-2017 are trei domenii de interes principale: dezvoltarea incluzivă, guvernare democratică, mediu şi energie. Astfel, printre proiectele implementate de către PNUD Moldova se includ şi desfăşurarea activităţilor de instruire.</w:t>
      </w:r>
    </w:p>
    <w:p w:rsidR="00A44A5B" w:rsidRPr="00A44A5B" w:rsidRDefault="00A44A5B" w:rsidP="00A44A5B">
      <w:pPr>
        <w:rPr>
          <w:lang w:val="ro-RO"/>
        </w:rPr>
      </w:pPr>
    </w:p>
    <w:p w:rsidR="00A44A5B" w:rsidRPr="00A44A5B" w:rsidRDefault="00A44A5B" w:rsidP="00A44A5B">
      <w:pPr>
        <w:jc w:val="both"/>
        <w:rPr>
          <w:lang w:val="ro-RO"/>
        </w:rPr>
      </w:pPr>
      <w:r w:rsidRPr="00A44A5B">
        <w:rPr>
          <w:lang w:val="ro-RO"/>
        </w:rPr>
        <w:t xml:space="preserve">În acest sens, pe parcursul anului 2013, putem menţiona următoarele activităţi de instruire organizate de către PNUD Moldova: </w:t>
      </w:r>
    </w:p>
    <w:p w:rsidR="00A44A5B" w:rsidRPr="00A44A5B" w:rsidRDefault="00A44A5B" w:rsidP="00A44A5B">
      <w:pPr>
        <w:jc w:val="both"/>
        <w:rPr>
          <w:lang w:val="ro-RO"/>
        </w:rPr>
      </w:pPr>
      <w:r w:rsidRPr="00A44A5B">
        <w:rPr>
          <w:lang w:val="ro-RO"/>
        </w:rPr>
        <w:t xml:space="preserve">- din ianuarie 2013, ONU Moldova implementează proiectul "Schimbare de paradigmă: Acţiunea strategică a UNCT Moldova de sprijinire a implementării </w:t>
      </w:r>
      <w:hyperlink r:id="rId25" w:tooltip="Initiates file download" w:history="1">
        <w:r w:rsidRPr="00A44A5B">
          <w:rPr>
            <w:color w:val="0000FF"/>
            <w:u w:val="single"/>
            <w:lang w:val="ro-RO"/>
          </w:rPr>
          <w:t>Convenţiei ONU privind Drepturile Persoanelor cu Dizabilităţi</w:t>
        </w:r>
      </w:hyperlink>
      <w:r w:rsidRPr="00A44A5B">
        <w:rPr>
          <w:lang w:val="ro-RO"/>
        </w:rPr>
        <w:t>”. În cadrul acestui proiect PNUD Moldova realizează acţiuni de sporire a capacităţii reprezentanţilor administraţiei publice locale şi a actorilor din justiţie (judecători, procurori, avocaţi), de a aplica standarde naţionale şi internaţionale în domeniul drepturilor omului a persoanelor cu dizabilităţi mintale şi intelectuale;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PNUD şi partenerii regionali şi naţionali, Institutul pentru Drepturile Omului din Moldova (IDOM) şi ONG-ul „Viaţa Nouă” au organizat un seminar de 2 zile privind consolidarea capacităţilor pentru persoanele care locuiesc cu şi sunt afectate de HIV în Republica Moldova, având ca participanţi membri ai societăţii civile, jurişti, avocaţi</w:t>
      </w:r>
      <w:r w:rsidRPr="00A44A5B">
        <w:rPr>
          <w:vertAlign w:val="superscript"/>
          <w:lang w:val="ro-RO"/>
        </w:rPr>
        <w:footnoteReference w:id="18"/>
      </w:r>
      <w:r w:rsidRPr="00A44A5B">
        <w:rPr>
          <w:lang w:val="ro-RO"/>
        </w:rPr>
        <w: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Activităţi de instruire întreprinse de către PNUD Moldova pe parcursul anului 2012 (în baza Raportului narativ PNUD Moldova pentru anul 2012 )</w:t>
      </w:r>
      <w:r w:rsidRPr="00A44A5B">
        <w:rPr>
          <w:vertAlign w:val="superscript"/>
          <w:lang w:val="ro-RO"/>
        </w:rPr>
        <w:footnoteReference w:id="19"/>
      </w:r>
      <w:r w:rsidRPr="00A44A5B">
        <w:rPr>
          <w:lang w:val="ro-RO"/>
        </w:rPr>
        <w:t>:</w:t>
      </w:r>
    </w:p>
    <w:p w:rsidR="00A44A5B" w:rsidRPr="00A44A5B" w:rsidRDefault="00A44A5B" w:rsidP="00A44A5B">
      <w:pPr>
        <w:jc w:val="both"/>
        <w:rPr>
          <w:lang w:val="ro-RO"/>
        </w:rPr>
      </w:pPr>
      <w:r w:rsidRPr="00A44A5B">
        <w:rPr>
          <w:i/>
          <w:lang w:val="ro-RO"/>
        </w:rPr>
        <w:t>-</w:t>
      </w:r>
      <w:r w:rsidRPr="00A44A5B">
        <w:rPr>
          <w:lang w:val="ro-RO"/>
        </w:rPr>
        <w:t xml:space="preserve"> UN a sprijinit organizarea de training-uri pentru jurnalişti. Au fost iniţiate şi Press club-uri pentru jurnaliştii de pe ambele maluri ale Nistrului abordându-se tematica traficul de fiinţe umane;</w:t>
      </w:r>
    </w:p>
    <w:p w:rsidR="00A44A5B" w:rsidRPr="00A44A5B" w:rsidRDefault="00A44A5B" w:rsidP="00A44A5B">
      <w:pPr>
        <w:jc w:val="both"/>
        <w:rPr>
          <w:lang w:val="ro-RO"/>
        </w:rPr>
      </w:pPr>
      <w:r w:rsidRPr="00A44A5B">
        <w:rPr>
          <w:lang w:val="ro-RO"/>
        </w:rPr>
        <w:t>- ONG-urile au beneficiat de instruire privind monitorizarea implementării recomandărilor Revizuirii periodice universale. De asemenea, a fost oferit suportul necesar ONG-urilor pentru a fi angajate în combaterea şi prevenirea torturii şi altor forme de tratament inuman;</w:t>
      </w:r>
    </w:p>
    <w:p w:rsidR="00A44A5B" w:rsidRPr="00A44A5B" w:rsidRDefault="00A44A5B" w:rsidP="00A44A5B">
      <w:pPr>
        <w:jc w:val="both"/>
        <w:rPr>
          <w:lang w:val="ro-RO"/>
        </w:rPr>
      </w:pPr>
      <w:r w:rsidRPr="00A44A5B">
        <w:rPr>
          <w:lang w:val="ro-RO"/>
        </w:rPr>
        <w:t>- au fost consolidate capacităţile de advocacy ale ONG-urilor active în domeniul protecţiei sociale, familiei şi copilului, prin organizare de training-uri de către UNICEF;</w:t>
      </w:r>
    </w:p>
    <w:p w:rsidR="00A44A5B" w:rsidRPr="00A44A5B" w:rsidRDefault="00A44A5B" w:rsidP="00A44A5B">
      <w:pPr>
        <w:jc w:val="both"/>
        <w:rPr>
          <w:lang w:val="ro-RO"/>
        </w:rPr>
      </w:pPr>
      <w:r w:rsidRPr="00A44A5B">
        <w:rPr>
          <w:lang w:val="ro-RO"/>
        </w:rPr>
        <w:lastRenderedPageBreak/>
        <w:t xml:space="preserve">- au beneficiat de instruire echipele comunitare multidisciplinare din cadrul Sistemului Naţional de Referire ce acoperă violenţa domestică şi traficul de fiinţe umane. De asemenea, 75 de cadre medicale au fost instruiţi în identificarea cazurilor de violenţă domestică şi referirea acestora pentru asistenţă.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Proiectele PNUD Moldova care au inclus şi activităţi de instruire:</w:t>
      </w:r>
    </w:p>
    <w:p w:rsidR="00A44A5B" w:rsidRPr="00A44A5B" w:rsidRDefault="00A44A5B" w:rsidP="00A44A5B">
      <w:pPr>
        <w:jc w:val="both"/>
        <w:rPr>
          <w:lang w:val="ro-RO"/>
        </w:rPr>
      </w:pPr>
      <w:r w:rsidRPr="00A44A5B">
        <w:rPr>
          <w:lang w:val="ro-RO"/>
        </w:rPr>
        <w:t>- proiectul „Consolidarea capacităţilor instituţionale ale Ministerului Afacerilor Externe şi Integrării Europene” (2008-2011) a oferit instruire pentru Departamentul Mass-media şi relaţii cu publicul în vederea sprijinirii Ministerului în comunicarea cu partenerii şi publicul larg, într-un mod deschis şi transparent (elaborarea diverselor publicaţii, menţinerea sistematică a paginii web , conferinţe de presă etc.)</w:t>
      </w:r>
      <w:r w:rsidRPr="00A44A5B">
        <w:rPr>
          <w:vertAlign w:val="superscript"/>
          <w:lang w:val="ro-RO"/>
        </w:rPr>
        <w:footnoteReference w:id="20"/>
      </w:r>
      <w:r w:rsidRPr="00A44A5B">
        <w:rPr>
          <w:lang w:val="ro-RO"/>
        </w:rPr>
        <w:t>;</w:t>
      </w:r>
    </w:p>
    <w:p w:rsidR="00A44A5B" w:rsidRPr="00A44A5B" w:rsidRDefault="00A44A5B" w:rsidP="00A44A5B">
      <w:pPr>
        <w:jc w:val="both"/>
        <w:rPr>
          <w:lang w:val="ro-RO"/>
        </w:rPr>
      </w:pPr>
      <w:r w:rsidRPr="00A44A5B">
        <w:rPr>
          <w:rFonts w:ascii="Arial" w:hAnsi="Arial" w:cs="Arial"/>
          <w:sz w:val="20"/>
          <w:szCs w:val="20"/>
          <w:lang w:val="ro-RO"/>
        </w:rPr>
        <w:t xml:space="preserve">- </w:t>
      </w:r>
      <w:r w:rsidRPr="00A44A5B">
        <w:rPr>
          <w:lang w:val="ro-RO"/>
        </w:rPr>
        <w:t>proiectul „Edificarea guvernării electronice în Moldova” (2008-2012), în cadrul căruia ariile de intervenţie au acoperit şi instruit pentru funcţionarii publici în utilizare tehnologiilor informaţiei şi comunicaţiilor şi promovarea practicilor în e-democraţie</w:t>
      </w:r>
      <w:r w:rsidRPr="00A44A5B">
        <w:rPr>
          <w:vertAlign w:val="superscript"/>
          <w:lang w:val="ro-RO"/>
        </w:rPr>
        <w:footnoteReference w:id="21"/>
      </w:r>
      <w:r w:rsidRPr="00A44A5B">
        <w:rPr>
          <w:lang w:val="ro-RO"/>
        </w:rPr>
        <w:t>;</w:t>
      </w:r>
    </w:p>
    <w:p w:rsidR="00A44A5B" w:rsidRPr="00A44A5B" w:rsidRDefault="00A44A5B" w:rsidP="00A44A5B">
      <w:pPr>
        <w:jc w:val="both"/>
        <w:rPr>
          <w:lang w:val="ro-RO"/>
        </w:rPr>
      </w:pPr>
      <w:r w:rsidRPr="00A44A5B">
        <w:rPr>
          <w:lang w:val="ro-RO"/>
        </w:rPr>
        <w:t>- proiectul „Consolidarea examinării medico-legale a cazurilor de tortură şi a altor forme de maltratare în Moldova” (2011-2012), ca strategie de comunicare a prevăzut şi cursuri de formare pentru experţii medico-legali, personalul medical din locurile de detenţie şi instituţiile penitenciare, practicieni independenţi medicali</w:t>
      </w:r>
      <w:r w:rsidRPr="00A44A5B">
        <w:rPr>
          <w:vertAlign w:val="superscript"/>
          <w:lang w:val="ro-RO"/>
        </w:rPr>
        <w:footnoteReference w:id="22"/>
      </w:r>
      <w:r w:rsidRPr="00A44A5B">
        <w:rPr>
          <w:lang w:val="ro-RO"/>
        </w:rPr>
        <w:t>.</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Fundaţia SOROS-Moldova (FSM)</w:t>
      </w:r>
    </w:p>
    <w:p w:rsidR="00A44A5B" w:rsidRPr="00A44A5B" w:rsidRDefault="00A44A5B" w:rsidP="00A44A5B">
      <w:pPr>
        <w:jc w:val="both"/>
        <w:rPr>
          <w:i/>
          <w:lang w:val="ro-RO"/>
        </w:rPr>
      </w:pPr>
    </w:p>
    <w:p w:rsidR="00A44A5B" w:rsidRPr="00A44A5B" w:rsidRDefault="00A44A5B" w:rsidP="00A44A5B">
      <w:pPr>
        <w:jc w:val="both"/>
        <w:rPr>
          <w:lang w:val="ro-RO"/>
        </w:rPr>
      </w:pPr>
      <w:r w:rsidRPr="00A44A5B">
        <w:rPr>
          <w:lang w:val="ro-RO"/>
        </w:rPr>
        <w:t>În cadrul activităţii desfăşurate de către FSM, în special Programul de Drept, identificăm şi activităţi ce vizează instruirea actorilor din sectorul justiţiei. Astfel, putem evidenţia următoarele proiecte desfăşurate în cadrul FSM, care includ şi activităţi de instruire: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proiectul operaţional „</w:t>
      </w:r>
      <w:r w:rsidRPr="00A44A5B">
        <w:rPr>
          <w:bCs/>
          <w:lang w:val="ro-RO"/>
        </w:rPr>
        <w:t>Fortificarea instrumentelor de gestionare şi asigurare a calităţii asistenţei juridice din Republica Moldova</w:t>
      </w:r>
      <w:r w:rsidRPr="00A44A5B">
        <w:rPr>
          <w:lang w:val="ro-RO"/>
        </w:rPr>
        <w:t>, în cooperare cu Biroul Asociat de Avocaţi „Avocaţii Publici”, vizează organizarea a 15 ateliere de instruire pe parcursul anilor 2013-2014, pentru avocaţii privaţi, avocaţii stagiari şi avocaţii nou admişi în sistemul de asistenţă juridică garantată de stat. Tematica abordată vizează</w:t>
      </w:r>
      <w:r w:rsidRPr="00A44A5B">
        <w:rPr>
          <w:lang w:val="it-IT"/>
        </w:rPr>
        <w:t xml:space="preserve"> standardele de performanţă ale avocatului la etapele iniţiale ale urmăririi penale</w:t>
      </w:r>
      <w:r w:rsidRPr="00A44A5B">
        <w:rPr>
          <w:lang w:val="ro-RO"/>
        </w:rPr>
        <w:t>;</w:t>
      </w:r>
    </w:p>
    <w:p w:rsidR="00A44A5B" w:rsidRPr="00A44A5B" w:rsidRDefault="00A44A5B" w:rsidP="00A44A5B">
      <w:pPr>
        <w:jc w:val="both"/>
        <w:rPr>
          <w:lang w:val="ro-RO"/>
        </w:rPr>
      </w:pPr>
      <w:r w:rsidRPr="00A44A5B">
        <w:rPr>
          <w:lang w:val="ro-RO"/>
        </w:rPr>
        <w:t xml:space="preserve"> </w:t>
      </w:r>
    </w:p>
    <w:p w:rsidR="00A44A5B" w:rsidRPr="00A44A5B" w:rsidRDefault="00A44A5B" w:rsidP="00A44A5B">
      <w:pPr>
        <w:jc w:val="both"/>
        <w:rPr>
          <w:lang w:val="ro-RO"/>
        </w:rPr>
      </w:pPr>
      <w:r w:rsidRPr="00A44A5B">
        <w:rPr>
          <w:lang w:val="ro-RO"/>
        </w:rPr>
        <w:t>- Programul Egalitate şi Participare Civică a desfăşurat un program de instruire în domeniul anti-discriminării, destinat juriştilor şi avocaţilor (I modul: 6-8 septembrie, II modul: 13-14 septembrie 2012)</w:t>
      </w:r>
      <w:r w:rsidRPr="00A44A5B">
        <w:rPr>
          <w:vertAlign w:val="superscript"/>
          <w:lang w:val="ro-RO"/>
        </w:rPr>
        <w:footnoteReference w:id="23"/>
      </w:r>
      <w:r w:rsidRPr="00A44A5B">
        <w:rPr>
          <w:lang w:val="ro-RO"/>
        </w:rPr>
        <w: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proiectul „Îmbunătăţirea respectării dreptului la libertatea şi siguranţa persoanei în Moldova” prevede organizarea instruirilor interactive în domeniul justiţiei penale şi monitorizării acesteia pentru grupuri mixte de judecători, procurori, avocaţi, jurnalişti şi activişti în domeniul Drepturilor Omului. În acest sens, în anul 2013, în colaborare cu INJ s-au organizat 3 instruiri, la care au participat in total 64 de persoane: 26 de procurori şi 38 de judecători (majoritatea fiind judecători de instrucţie). În cadrul seminarelor a fost abordată tematica - "Asigurarea respectării drepturilor omului in procesul de aplicare a arestului".  În anul 2012 au avut loc 5 ateliere de instruire pentru jurnalişti şi activişti in domeniul drepturilor omului, cu tema "Jurnaliştii si activiştii în contact cu justiţia penală". În total au participat 98 de persoane. Ulterior, în cadrul proiectului s-au format echipe interdisciplinare mobile din 5 jurnalişti si 5 activişti care au participat la instruirile din 2012, precum şi 5 avocaţi. Ei au beneficiat de seminare de iniţiere </w:t>
      </w:r>
      <w:r w:rsidRPr="00A44A5B">
        <w:rPr>
          <w:lang w:val="ro-RO"/>
        </w:rPr>
        <w:lastRenderedPageBreak/>
        <w:t xml:space="preserve">privind monitorizarea respectării drepturilor omului la etapa prejudiciară a procesului penal, activând ulterior în cadrul proiectului. </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Amnesty International Moldova (AI)</w:t>
      </w:r>
    </w:p>
    <w:p w:rsidR="00A44A5B" w:rsidRPr="00A44A5B" w:rsidRDefault="00A44A5B" w:rsidP="00A44A5B">
      <w:pPr>
        <w:jc w:val="both"/>
        <w:rPr>
          <w:i/>
          <w:lang w:val="ro-RO"/>
        </w:rPr>
      </w:pPr>
    </w:p>
    <w:p w:rsidR="00A44A5B" w:rsidRPr="00A44A5B" w:rsidRDefault="00A44A5B" w:rsidP="00A44A5B">
      <w:pPr>
        <w:jc w:val="both"/>
        <w:rPr>
          <w:lang w:val="ro-RO"/>
        </w:rPr>
      </w:pPr>
      <w:r w:rsidRPr="00A44A5B">
        <w:rPr>
          <w:lang w:val="ro-RO"/>
        </w:rPr>
        <w:t xml:space="preserve">Activităţile cheie ale AI Moldova includ combaterea discriminării şi promovarea drepturilor sociale, economice şi culturale în cadrul campaniei „Cere Demnitate”. Ţinând cont de faptul că cetăţenii Republicii Moldova pot înainta plângeri către </w:t>
      </w:r>
      <w:hyperlink r:id="rId26" w:history="1">
        <w:r w:rsidRPr="00A44A5B">
          <w:rPr>
            <w:color w:val="000000"/>
            <w:u w:val="single"/>
            <w:lang w:val="ro-RO"/>
          </w:rPr>
          <w:t>Curtea Europeană a Drepturilor Omului</w:t>
        </w:r>
      </w:hyperlink>
      <w:r w:rsidRPr="00A44A5B">
        <w:rPr>
          <w:color w:val="000000"/>
          <w:lang w:val="ro-RO"/>
        </w:rPr>
        <w:t xml:space="preserve">, </w:t>
      </w:r>
      <w:r w:rsidRPr="00A44A5B">
        <w:rPr>
          <w:lang w:val="ro-RO"/>
        </w:rPr>
        <w:t xml:space="preserve"> AI Moldova organizează şi seminare de reciclare pentru avocaţi-practicieni, care ulterior folosesc deprinderile acumulate pentru a apăra drepturile mai multor oameni la nivel internaţional, în timp ce justiţia naţională deseori eşuează să le face dreptate</w:t>
      </w:r>
      <w:r w:rsidRPr="00A44A5B">
        <w:rPr>
          <w:vertAlign w:val="superscript"/>
          <w:lang w:val="ro-RO"/>
        </w:rPr>
        <w:footnoteReference w:id="24"/>
      </w:r>
      <w:r w:rsidRPr="00A44A5B">
        <w:rPr>
          <w:lang w:val="ro-RO"/>
        </w:rPr>
        <w:t xml:space="preserve">. Astfel, în colaborare cu ABA ROLI, în anul 2011, întru avansarea instruirii profesionale, a fost organizat un curs de instruire de 3 zile cu privire la următoarele tematici: </w:t>
      </w:r>
      <w:r w:rsidRPr="00A44A5B">
        <w:rPr>
          <w:bCs/>
          <w:iCs/>
          <w:lang w:val="ro-RO"/>
        </w:rPr>
        <w:t>procedura la Curtea Europeană a Drepturilor Omului (CtEDO), admisibilitatea cererilor la CtEDO şi articolul 5 al CEDO (dreptul la libertate şi siguranţă</w:t>
      </w:r>
      <w:r w:rsidRPr="00A44A5B">
        <w:rPr>
          <w:bCs/>
          <w:i/>
          <w:iCs/>
          <w:lang w:val="ro-RO"/>
        </w:rPr>
        <w:t>)</w:t>
      </w:r>
      <w:r w:rsidRPr="00A44A5B">
        <w:rPr>
          <w:lang w:val="ro-RO"/>
        </w:rPr>
        <w:t>. Anul 2012 aduce desfăşurarea unui curs de 2 zile pe tematica nediscriminării (art. 14 CEDO).</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Totodată, sunt organizate întruniri ale Clubului Avocaţilor, desfăşurate în colaborare cu ABA ROLI care pe parcursul anului 2011-2013 au fost 15 la număr, a câte 2 h fiecare</w:t>
      </w:r>
      <w:r w:rsidRPr="00A44A5B">
        <w:rPr>
          <w:vertAlign w:val="superscript"/>
          <w:lang w:val="ro-RO"/>
        </w:rPr>
        <w:footnoteReference w:id="25"/>
      </w:r>
      <w:r w:rsidRPr="00A44A5B">
        <w:rPr>
          <w:lang w:val="ro-RO"/>
        </w:rPr>
        <w:t xml:space="preserve">. Tematicile abordate sunt diverse, precum CEDO, legislaţia succesorala, legislaţia civil-contractuală, combaterea torturii şi discriminării, modificările şi completările penale şi procedural-penale, fiscalitatea în avocatură etc. Grupul de participanţi îl formează avocaţii şi avocaţii stagiari. </w:t>
      </w:r>
    </w:p>
    <w:p w:rsidR="00A44A5B" w:rsidRPr="00A44A5B" w:rsidRDefault="00A44A5B" w:rsidP="00A44A5B">
      <w:pPr>
        <w:jc w:val="both"/>
        <w:rPr>
          <w:lang w:val="ro-RO"/>
        </w:rPr>
      </w:pP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Asociaţia Obştească „Institutul de Reforme Penale” (IRP)</w:t>
      </w:r>
    </w:p>
    <w:p w:rsidR="00A44A5B" w:rsidRPr="00A44A5B" w:rsidRDefault="00A44A5B" w:rsidP="00A44A5B">
      <w:pPr>
        <w:ind w:left="360"/>
        <w:jc w:val="both"/>
        <w:rPr>
          <w:i/>
          <w:color w:val="FF0000"/>
          <w:lang w:val="ro-RO"/>
        </w:rPr>
      </w:pPr>
    </w:p>
    <w:p w:rsidR="00A44A5B" w:rsidRPr="00A44A5B" w:rsidRDefault="00A44A5B" w:rsidP="00A44A5B">
      <w:pPr>
        <w:jc w:val="both"/>
        <w:rPr>
          <w:lang w:val="ro-RO"/>
        </w:rPr>
      </w:pPr>
      <w:r w:rsidRPr="00A44A5B">
        <w:rPr>
          <w:lang w:val="ro-RO"/>
        </w:rPr>
        <w:t>Activităţile de instruire desfăşurate de către IRP sunt orientate pe segmentele stabilite conform obiectivelor de activitate. În acest sens, în cadrul diverselor proiecte implementate de către IRP, pot fi evidenţiate următoarele activităţi de instruire: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Anul 2013: </w:t>
      </w:r>
    </w:p>
    <w:p w:rsidR="00A44A5B" w:rsidRPr="00A44A5B" w:rsidRDefault="00A44A5B" w:rsidP="00A44A5B">
      <w:pPr>
        <w:jc w:val="both"/>
        <w:rPr>
          <w:lang w:val="ro-RO"/>
        </w:rPr>
      </w:pPr>
      <w:r w:rsidRPr="00A44A5B">
        <w:rPr>
          <w:lang w:val="ro-RO"/>
        </w:rPr>
        <w:t>- În cadrul proiectului „O mai bună protecţie şi suport copiilor din sistemul de Justiţie a R. Moldova. Promovarea dejudiciarizării cauzelor penale cu implicarea copiilor” (finanţator UNICEF-Moldova) au avut loc o serie de seminare, unde participanţii au fost diverşi subiecţi, după cum urmează:</w:t>
      </w:r>
    </w:p>
    <w:p w:rsidR="00A44A5B" w:rsidRPr="00A44A5B" w:rsidRDefault="00A44A5B" w:rsidP="00A44A5B">
      <w:pPr>
        <w:numPr>
          <w:ilvl w:val="0"/>
          <w:numId w:val="31"/>
        </w:numPr>
        <w:jc w:val="both"/>
        <w:rPr>
          <w:lang w:val="ro-RO"/>
        </w:rPr>
      </w:pPr>
      <w:r w:rsidRPr="00A44A5B">
        <w:rPr>
          <w:i/>
          <w:lang w:val="ro-RO"/>
        </w:rPr>
        <w:t>avocaţi</w:t>
      </w:r>
      <w:r w:rsidRPr="00A44A5B">
        <w:rPr>
          <w:lang w:val="ro-RO"/>
        </w:rPr>
        <w:t>: au fost instruiţi 40 persoane, acumulând 12 ore de instruire, tematica abordată fiind “Acordarea asistenţei juridice garantate de stat în cauzele cu implicarea copiilor“;</w:t>
      </w:r>
    </w:p>
    <w:p w:rsidR="00A44A5B" w:rsidRPr="00A44A5B" w:rsidRDefault="00A44A5B" w:rsidP="00A44A5B">
      <w:pPr>
        <w:numPr>
          <w:ilvl w:val="0"/>
          <w:numId w:val="31"/>
        </w:numPr>
        <w:jc w:val="both"/>
        <w:rPr>
          <w:lang w:val="ro-RO"/>
        </w:rPr>
      </w:pPr>
      <w:r w:rsidRPr="00A44A5B">
        <w:rPr>
          <w:i/>
          <w:lang w:val="ro-RO"/>
        </w:rPr>
        <w:t>consilieri de probaţiune</w:t>
      </w:r>
      <w:r w:rsidRPr="00A44A5B">
        <w:rPr>
          <w:lang w:val="ro-RO"/>
        </w:rPr>
        <w:t xml:space="preserve">: au fost instruiţi 40 persoane, acumulând 12 ore de instruire, tematica abordată fiind „Mecanismul de referire a copilului aflat în conflict cu legea penală, sub vârsta răspunderii penale. Dejudiciarizarea cauzelor penale”; </w:t>
      </w:r>
    </w:p>
    <w:p w:rsidR="00A44A5B" w:rsidRPr="00A44A5B" w:rsidRDefault="00A44A5B" w:rsidP="00A44A5B">
      <w:pPr>
        <w:numPr>
          <w:ilvl w:val="0"/>
          <w:numId w:val="31"/>
        </w:numPr>
        <w:jc w:val="both"/>
        <w:rPr>
          <w:lang w:val="ro-RO"/>
        </w:rPr>
      </w:pPr>
      <w:r w:rsidRPr="00A44A5B">
        <w:rPr>
          <w:i/>
          <w:lang w:val="ro-RO"/>
        </w:rPr>
        <w:t>psihologi</w:t>
      </w:r>
      <w:r w:rsidRPr="00A44A5B">
        <w:rPr>
          <w:lang w:val="ro-RO"/>
        </w:rPr>
        <w:t>: au fost instruiţi 45 persoane, acumulând 8 ore de instruire, tematica abordată fiind „Profilul psihologic al copilului aflat în contact cu sistemul de justiţie penală: copilul în conflict cu legea penală/ copilul victimă”;</w:t>
      </w:r>
    </w:p>
    <w:p w:rsidR="00A44A5B" w:rsidRPr="00A44A5B" w:rsidRDefault="00A44A5B" w:rsidP="00A44A5B">
      <w:pPr>
        <w:numPr>
          <w:ilvl w:val="0"/>
          <w:numId w:val="31"/>
        </w:numPr>
        <w:jc w:val="both"/>
        <w:rPr>
          <w:lang w:val="ro-RO"/>
        </w:rPr>
      </w:pPr>
      <w:r w:rsidRPr="00A44A5B">
        <w:rPr>
          <w:i/>
          <w:lang w:val="ro-RO"/>
        </w:rPr>
        <w:t>jurnalişti</w:t>
      </w:r>
      <w:r w:rsidRPr="00A44A5B">
        <w:rPr>
          <w:lang w:val="ro-RO"/>
        </w:rPr>
        <w:t>: au fost instruiţi 15 persoane, acumulând 8 ore de instruire, tematica abordată fiind</w:t>
      </w:r>
      <w:r w:rsidRPr="00A44A5B">
        <w:rPr>
          <w:color w:val="000000"/>
          <w:lang w:val="ro-RO"/>
        </w:rPr>
        <w:t xml:space="preserve"> „Imaginea copilului în conflict cu legea penală reflectată în mass-media”;</w:t>
      </w:r>
    </w:p>
    <w:p w:rsidR="00A44A5B" w:rsidRPr="00A44A5B" w:rsidRDefault="00A44A5B" w:rsidP="00A44A5B">
      <w:pPr>
        <w:numPr>
          <w:ilvl w:val="0"/>
          <w:numId w:val="31"/>
        </w:numPr>
        <w:jc w:val="both"/>
        <w:rPr>
          <w:lang w:val="ro-RO"/>
        </w:rPr>
      </w:pPr>
      <w:r w:rsidRPr="00A44A5B">
        <w:rPr>
          <w:i/>
          <w:iCs/>
          <w:color w:val="000000"/>
          <w:lang w:val="ro-RO"/>
        </w:rPr>
        <w:t>judecător, procuror</w:t>
      </w:r>
      <w:r w:rsidRPr="00A44A5B">
        <w:rPr>
          <w:iCs/>
          <w:color w:val="000000"/>
          <w:lang w:val="ro-RO"/>
        </w:rPr>
        <w:t xml:space="preserve">, </w:t>
      </w:r>
      <w:r w:rsidRPr="00A44A5B">
        <w:rPr>
          <w:i/>
          <w:lang w:val="ro-RO"/>
        </w:rPr>
        <w:t>inspector siguranţă copii</w:t>
      </w:r>
      <w:r w:rsidRPr="00A44A5B">
        <w:rPr>
          <w:b/>
          <w:i/>
          <w:lang w:val="ro-RO"/>
        </w:rPr>
        <w:t xml:space="preserve"> </w:t>
      </w:r>
      <w:r w:rsidRPr="00A44A5B">
        <w:rPr>
          <w:iCs/>
          <w:color w:val="000000"/>
          <w:lang w:val="ro-RO"/>
        </w:rPr>
        <w:t xml:space="preserve">(poliţist), </w:t>
      </w:r>
      <w:r w:rsidRPr="00A44A5B">
        <w:rPr>
          <w:i/>
          <w:iCs/>
          <w:color w:val="000000"/>
          <w:lang w:val="ro-RO"/>
        </w:rPr>
        <w:t>asistent social, medic, consilier de probaţiune, psiholog:</w:t>
      </w:r>
      <w:r w:rsidRPr="00A44A5B">
        <w:rPr>
          <w:iCs/>
          <w:color w:val="000000"/>
          <w:lang w:val="ro-RO"/>
        </w:rPr>
        <w:t xml:space="preserve"> 8 ore de instruire la tema „Identificare si protecţia copiilor social-vulnerabili, aflaţi în conflict cu legea sau sub vârsta răspunderii penale”</w:t>
      </w:r>
    </w:p>
    <w:p w:rsidR="00A44A5B" w:rsidRPr="00A44A5B" w:rsidRDefault="00A44A5B" w:rsidP="00A44A5B">
      <w:pPr>
        <w:jc w:val="both"/>
        <w:rPr>
          <w:lang w:val="ro-RO"/>
        </w:rPr>
      </w:pPr>
      <w:r w:rsidRPr="00A44A5B">
        <w:rPr>
          <w:lang w:val="ro-RO"/>
        </w:rPr>
        <w:lastRenderedPageBreak/>
        <w:t>- În cadrul proiectului „Consolidarea capacităţii de implementare a alternativelor la detenţie în Moldova” (finanţat de către Open Society Institute-Budapesta), au fost instruiţi 25 consilieri de probaţiune, abordându-se în cele 8 ore de instruire tematica „Metodologia de focalizare a resurselor comunitare la necesităţile beneficiarilor probaţiunii”.</w:t>
      </w:r>
    </w:p>
    <w:p w:rsidR="00A44A5B" w:rsidRPr="00A44A5B" w:rsidRDefault="00A44A5B" w:rsidP="00A44A5B">
      <w:pPr>
        <w:jc w:val="both"/>
        <w:rPr>
          <w:color w:val="000080"/>
          <w:lang w:val="ro-RO"/>
        </w:rPr>
      </w:pPr>
    </w:p>
    <w:p w:rsidR="00A44A5B" w:rsidRPr="00A44A5B" w:rsidRDefault="00A44A5B" w:rsidP="00A44A5B">
      <w:pPr>
        <w:jc w:val="both"/>
        <w:rPr>
          <w:lang w:val="ro-RO"/>
        </w:rPr>
      </w:pPr>
      <w:r w:rsidRPr="00A44A5B">
        <w:rPr>
          <w:lang w:val="ro-RO"/>
        </w:rPr>
        <w:t>Anul 2012:</w:t>
      </w:r>
    </w:p>
    <w:p w:rsidR="00A44A5B" w:rsidRPr="00A44A5B" w:rsidRDefault="00A44A5B" w:rsidP="00A44A5B">
      <w:pPr>
        <w:jc w:val="both"/>
        <w:rPr>
          <w:lang w:val="ro-RO"/>
        </w:rPr>
      </w:pPr>
      <w:r w:rsidRPr="00A44A5B">
        <w:rPr>
          <w:lang w:val="ro-RO"/>
        </w:rPr>
        <w:t>- În cadrul proiectului „Promovarea mecanismului de dejudiciarizare pentru copii în conflict cu legea penală”</w:t>
      </w:r>
      <w:r w:rsidRPr="00A44A5B">
        <w:rPr>
          <w:color w:val="000080"/>
          <w:lang w:val="ro-RO"/>
        </w:rPr>
        <w:t xml:space="preserve"> </w:t>
      </w:r>
      <w:r w:rsidRPr="00A44A5B">
        <w:rPr>
          <w:lang w:val="ro-RO"/>
        </w:rPr>
        <w:t>(finanţator UNICEF-Moldova)</w:t>
      </w:r>
      <w:r w:rsidRPr="00A44A5B">
        <w:rPr>
          <w:b/>
          <w:lang w:val="ro-RO"/>
        </w:rPr>
        <w:t xml:space="preserve"> </w:t>
      </w:r>
      <w:r w:rsidRPr="00A44A5B">
        <w:rPr>
          <w:lang w:val="ro-RO"/>
        </w:rPr>
        <w:t xml:space="preserve">s-a desfăşurat seminarul „Justiţia pentru Copii: Rolul Consilierului de probaţiune în promovarea practicilor de dejudiciarizare a cauzelor penale” pentru </w:t>
      </w:r>
      <w:r w:rsidRPr="00A44A5B">
        <w:rPr>
          <w:color w:val="000000"/>
          <w:lang w:val="ro-RO"/>
        </w:rPr>
        <w:t xml:space="preserve">25 </w:t>
      </w:r>
      <w:r w:rsidRPr="00A44A5B">
        <w:rPr>
          <w:lang w:val="ro-RO"/>
        </w:rPr>
        <w:t>consilieri de probaţiune, care au acumulat 12 ore de instruire;</w:t>
      </w:r>
    </w:p>
    <w:p w:rsidR="00A44A5B" w:rsidRPr="00A44A5B" w:rsidRDefault="00A44A5B" w:rsidP="00A44A5B">
      <w:pPr>
        <w:jc w:val="both"/>
        <w:rPr>
          <w:lang w:val="ro-RO"/>
        </w:rPr>
      </w:pPr>
      <w:r w:rsidRPr="00A44A5B">
        <w:rPr>
          <w:lang w:val="ro-RO"/>
        </w:rPr>
        <w:t>- În cadrul proiectului „Suport pentru punerea în aplicare a Acordurilor de Readmisie Semnate de Comisia Europeană cu Republica Moldova, Federaţia Rusă şi Ucraina: Facilitarea Întoarcerii Voluntare Asistate şi a reintegrării” (Finanţator Organizaţia Internaţională pentru Migraţiune), au fost instruiţi 50 ofiţeri de poliţie la seminarul de 8 ore „Protecţia juridică a drepturilor migranţilor iregulari aflaţi pe teritoriul R. Moldova”;</w:t>
      </w:r>
    </w:p>
    <w:p w:rsidR="00A44A5B" w:rsidRPr="00A44A5B" w:rsidRDefault="00A44A5B" w:rsidP="00A44A5B">
      <w:pPr>
        <w:jc w:val="both"/>
        <w:rPr>
          <w:lang w:val="ro-RO"/>
        </w:rPr>
      </w:pPr>
      <w:r w:rsidRPr="00A44A5B">
        <w:rPr>
          <w:lang w:val="ro-RO"/>
        </w:rPr>
        <w:t>- În cadrul proiectului „Consolidarea capacităţii de implementare a alternativelor la detenţie în Moldova” (finanţat de către Open Society Institute-Budapesta),</w:t>
      </w:r>
      <w:r w:rsidRPr="00A44A5B">
        <w:rPr>
          <w:b/>
          <w:lang w:val="ro-RO"/>
        </w:rPr>
        <w:t xml:space="preserve"> </w:t>
      </w:r>
      <w:r w:rsidRPr="00A44A5B">
        <w:rPr>
          <w:lang w:val="ro-RO"/>
        </w:rPr>
        <w:t>45 consilieri de probaţiune au fost instruiţi la tema „Deontologia profesională a consilierilor de proba</w:t>
      </w:r>
      <w:r w:rsidRPr="00A44A5B">
        <w:rPr>
          <w:rFonts w:ascii="Tahoma" w:hAnsi="Tahoma"/>
          <w:lang w:val="ro-RO"/>
        </w:rPr>
        <w:t>ț</w:t>
      </w:r>
      <w:r w:rsidRPr="00A44A5B">
        <w:rPr>
          <w:lang w:val="ro-RO"/>
        </w:rPr>
        <w:t>iune din Republica Moldova”, acumulând 8 ore de instruire;</w:t>
      </w:r>
    </w:p>
    <w:p w:rsidR="00A44A5B" w:rsidRPr="00A44A5B" w:rsidRDefault="00A44A5B" w:rsidP="00A44A5B">
      <w:pPr>
        <w:jc w:val="both"/>
        <w:rPr>
          <w:b/>
          <w:lang w:val="ro-RO"/>
        </w:rPr>
      </w:pPr>
    </w:p>
    <w:p w:rsidR="00A44A5B" w:rsidRPr="00A44A5B" w:rsidRDefault="00A44A5B" w:rsidP="00A44A5B">
      <w:pPr>
        <w:jc w:val="both"/>
        <w:rPr>
          <w:lang w:val="ro-RO"/>
        </w:rPr>
      </w:pPr>
      <w:r w:rsidRPr="00A44A5B">
        <w:rPr>
          <w:lang w:val="ro-RO"/>
        </w:rPr>
        <w:t>Anul 2011:</w:t>
      </w:r>
    </w:p>
    <w:p w:rsidR="00A44A5B" w:rsidRPr="00A44A5B" w:rsidRDefault="00A44A5B" w:rsidP="00A44A5B">
      <w:pPr>
        <w:rPr>
          <w:lang w:val="ro-RO"/>
        </w:rPr>
      </w:pPr>
      <w:r w:rsidRPr="00A44A5B">
        <w:rPr>
          <w:lang w:val="ro-RO"/>
        </w:rPr>
        <w:t>- În cadrul proiectului „Promovarea noilor elemente de justiţie pentru copii în sistemul de justiţie a R.Moldova” (finanţator UNICEF-Moldova)</w:t>
      </w:r>
      <w:r w:rsidRPr="00A44A5B">
        <w:rPr>
          <w:b/>
          <w:lang w:val="ro-RO"/>
        </w:rPr>
        <w:t xml:space="preserve"> </w:t>
      </w:r>
      <w:r w:rsidRPr="00A44A5B">
        <w:rPr>
          <w:lang w:val="ro-RO"/>
        </w:rPr>
        <w:t>au urmat cursuri de instruire următoarele persoane:</w:t>
      </w:r>
    </w:p>
    <w:p w:rsidR="00A44A5B" w:rsidRPr="00A44A5B" w:rsidRDefault="00A44A5B" w:rsidP="00A44A5B">
      <w:pPr>
        <w:numPr>
          <w:ilvl w:val="0"/>
          <w:numId w:val="32"/>
        </w:numPr>
        <w:rPr>
          <w:lang w:val="ro-RO"/>
        </w:rPr>
      </w:pPr>
      <w:r w:rsidRPr="00A44A5B">
        <w:rPr>
          <w:color w:val="000000"/>
          <w:lang w:val="ro-RO"/>
        </w:rPr>
        <w:t xml:space="preserve">45 </w:t>
      </w:r>
      <w:r w:rsidRPr="00A44A5B">
        <w:rPr>
          <w:lang w:val="ro-RO"/>
        </w:rPr>
        <w:t>ofiţeri de poliţie, 8 ore de instruire la tema „Procedurile prietenoase copiilor aflaţi în sistemul de justiţie penală aplicate în activitatea poliţiei”;</w:t>
      </w:r>
    </w:p>
    <w:p w:rsidR="00A44A5B" w:rsidRPr="00A44A5B" w:rsidRDefault="00A44A5B" w:rsidP="00A44A5B">
      <w:pPr>
        <w:numPr>
          <w:ilvl w:val="0"/>
          <w:numId w:val="32"/>
        </w:numPr>
        <w:rPr>
          <w:lang w:val="ro-RO"/>
        </w:rPr>
      </w:pPr>
      <w:r w:rsidRPr="00A44A5B">
        <w:rPr>
          <w:color w:val="000000"/>
          <w:lang w:val="ro-RO"/>
        </w:rPr>
        <w:t>15 psihologi, 12 ore de instruire la tema „</w:t>
      </w:r>
      <w:r w:rsidRPr="00A44A5B">
        <w:rPr>
          <w:lang w:val="ro-RO"/>
        </w:rPr>
        <w:t xml:space="preserve">Perfecţiona abilităţilor de lucru cu copii în situaţie de risc, a specialiştilor din regiunea de sud din Republica Moldova”; </w:t>
      </w:r>
    </w:p>
    <w:p w:rsidR="00A44A5B" w:rsidRPr="00A44A5B" w:rsidRDefault="00A44A5B" w:rsidP="00A44A5B">
      <w:pPr>
        <w:numPr>
          <w:ilvl w:val="0"/>
          <w:numId w:val="32"/>
        </w:numPr>
        <w:rPr>
          <w:lang w:val="ro-RO"/>
        </w:rPr>
      </w:pPr>
      <w:r w:rsidRPr="00A44A5B">
        <w:rPr>
          <w:color w:val="000000"/>
          <w:lang w:val="ro-RO"/>
        </w:rPr>
        <w:t xml:space="preserve">15 procurori, </w:t>
      </w:r>
      <w:r w:rsidRPr="00A44A5B">
        <w:rPr>
          <w:lang w:val="ro-RO"/>
        </w:rPr>
        <w:t>8 ore de instruire la tema: „Dejudiciarizarea procedurilor în privinţa copiilor la faza de urmărire penală”.</w:t>
      </w:r>
    </w:p>
    <w:p w:rsidR="00A44A5B" w:rsidRPr="00A44A5B" w:rsidRDefault="00A44A5B" w:rsidP="00A44A5B">
      <w:pPr>
        <w:jc w:val="both"/>
        <w:rPr>
          <w:sz w:val="22"/>
          <w:szCs w:val="22"/>
          <w:lang w:val="ro-RO"/>
        </w:rPr>
      </w:pPr>
    </w:p>
    <w:p w:rsidR="00A44A5B" w:rsidRPr="00A44A5B" w:rsidRDefault="00A44A5B" w:rsidP="00A44A5B">
      <w:pPr>
        <w:jc w:val="both"/>
        <w:rPr>
          <w:i/>
          <w:color w:val="FF0000"/>
          <w:lang w:val="ro-RO"/>
        </w:rPr>
      </w:pPr>
    </w:p>
    <w:p w:rsidR="00A44A5B" w:rsidRPr="00A44A5B" w:rsidRDefault="00A44A5B" w:rsidP="00A44A5B">
      <w:pPr>
        <w:numPr>
          <w:ilvl w:val="0"/>
          <w:numId w:val="25"/>
        </w:numPr>
        <w:jc w:val="both"/>
        <w:rPr>
          <w:b/>
          <w:i/>
          <w:lang w:val="ro-RO"/>
        </w:rPr>
      </w:pPr>
      <w:r w:rsidRPr="00A44A5B">
        <w:rPr>
          <w:b/>
          <w:i/>
          <w:lang w:val="ro-RO"/>
        </w:rPr>
        <w:t>Asociaţia Obştească “Human Rights Embassy”(HRE)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Pentru atingerea scopurilor propuse şi întru exercitarea activităţii sale, </w:t>
      </w:r>
      <w:r w:rsidRPr="00A44A5B">
        <w:rPr>
          <w:bCs/>
          <w:lang w:val="ro-RO"/>
        </w:rPr>
        <w:t>HRE</w:t>
      </w:r>
      <w:r w:rsidRPr="00A44A5B">
        <w:rPr>
          <w:b/>
          <w:bCs/>
          <w:lang w:val="ro-RO"/>
        </w:rPr>
        <w:t xml:space="preserve"> </w:t>
      </w:r>
      <w:r w:rsidRPr="00A44A5B">
        <w:rPr>
          <w:lang w:val="ro-RO"/>
        </w:rPr>
        <w:t>desfăşoară şi o activitate educaţională în domeniul drepturilor omului, îndreptată spre ridicarea nivelului de conştientizare al societăţii şi ridicarea nivelului de calificare a diverselor grupuri profesionale în domeniul drepturilor omului prin intermediul seminarelor, trening-urilor, şcolilor de vară, şcoli în domeniul drepturilor omului, etc.</w:t>
      </w:r>
      <w:r w:rsidRPr="00A44A5B">
        <w:rPr>
          <w:vertAlign w:val="superscript"/>
          <w:lang w:val="ro-RO"/>
        </w:rPr>
        <w:footnoteReference w:id="26"/>
      </w:r>
      <w:r w:rsidRPr="00A44A5B">
        <w:rPr>
          <w:lang w:val="ro-RO"/>
        </w:rPr>
        <w:t>.</w:t>
      </w:r>
    </w:p>
    <w:p w:rsidR="00A44A5B" w:rsidRPr="00A44A5B" w:rsidRDefault="00A44A5B" w:rsidP="00A44A5B">
      <w:pPr>
        <w:jc w:val="both"/>
        <w:rPr>
          <w:b/>
          <w:lang w:val="ro-RO"/>
        </w:rPr>
      </w:pPr>
    </w:p>
    <w:p w:rsidR="00A44A5B" w:rsidRPr="00A44A5B" w:rsidRDefault="00A44A5B" w:rsidP="00A44A5B">
      <w:pPr>
        <w:jc w:val="both"/>
        <w:rPr>
          <w:lang w:val="ro-RO"/>
        </w:rPr>
      </w:pPr>
      <w:r w:rsidRPr="00A44A5B">
        <w:rPr>
          <w:lang w:val="ro-RO"/>
        </w:rPr>
        <w:t xml:space="preserve">Anul </w:t>
      </w:r>
      <w:r w:rsidRPr="00A44A5B">
        <w:rPr>
          <w:b/>
          <w:lang w:val="ro-RO"/>
        </w:rPr>
        <w:t>2012</w:t>
      </w:r>
      <w:r w:rsidRPr="00A44A5B">
        <w:rPr>
          <w:lang w:val="ro-RO"/>
        </w:rPr>
        <w:t xml:space="preserve">: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HRE are în curs de realizare proiectul Clubul Drepturilor Omului, ce implică şi activităţi de promovare a unor standarde mai ridicate de cunoştinţe profesionale în domeniu drepturile omului pentru avocaţi, avocaţi stagiari şi profesori a universităţilor din Republica Moldova (inclusiv Transnistria)</w:t>
      </w:r>
      <w:r w:rsidRPr="00A44A5B">
        <w:rPr>
          <w:vertAlign w:val="superscript"/>
          <w:lang w:val="ro-RO"/>
        </w:rPr>
        <w:footnoteReference w:id="27"/>
      </w:r>
      <w:r w:rsidRPr="00A44A5B">
        <w:rPr>
          <w:lang w:val="ro-RO"/>
        </w:rPr>
        <w:t xml:space="preserve">. Reuniunile tematice ale Clubului Drepturilor Omului sunt organizate cu participarea experţilor şi sprijinul financiar parţial al Misiunii NORLAM, UNDP Moldova, precum şi sprijinul tehnic al Misiunii OSCE în Moldova şi Biblioteca Publică de Drept. Pe </w:t>
      </w:r>
      <w:r w:rsidRPr="00A44A5B">
        <w:rPr>
          <w:lang w:val="ro-RO"/>
        </w:rPr>
        <w:lastRenderedPageBreak/>
        <w:t xml:space="preserve">parcursul anului 2012 au avut loc 7 reuniuni ale Clubului, la fiecare din ele participând aprox. 30-60 pers, acumulând câte 3 ore de instruire. </w:t>
      </w:r>
    </w:p>
    <w:p w:rsidR="00A44A5B" w:rsidRPr="00A44A5B" w:rsidRDefault="00A44A5B" w:rsidP="00A44A5B">
      <w:pPr>
        <w:pBdr>
          <w:bottom w:val="single" w:sz="12" w:space="1" w:color="auto"/>
        </w:pBdr>
        <w:jc w:val="both"/>
        <w:rPr>
          <w:lang w:val="ro-RO"/>
        </w:rPr>
      </w:pPr>
    </w:p>
    <w:p w:rsidR="00A44A5B" w:rsidRPr="00A44A5B" w:rsidRDefault="00A44A5B" w:rsidP="00A44A5B">
      <w:pPr>
        <w:pBdr>
          <w:bottom w:val="single" w:sz="12" w:space="1" w:color="auto"/>
        </w:pBdr>
        <w:jc w:val="both"/>
        <w:rPr>
          <w:lang w:val="ro-RO"/>
        </w:rPr>
      </w:pPr>
      <w:r w:rsidRPr="00A44A5B">
        <w:rPr>
          <w:lang w:val="ro-RO"/>
        </w:rPr>
        <w:t>- În cadrul proiectului HRE "International law in advocacy - Electronic Human Rights Education for Lawyers", au fost selectaţi 25 de avocaţi şi jurişti pentru  instruire la distanţă în domeniul drepturilor omului. Proiectul îşi propune să stabilească legătură între avocaţii din ţările CSI, furnizând, prin intermediul reţelei Internet, materiale educaţionale în domeniul drepturilor omului, elaborate de către un grup de experţi internaţionali şi naţionali</w:t>
      </w:r>
      <w:r w:rsidRPr="00A44A5B">
        <w:rPr>
          <w:vertAlign w:val="superscript"/>
          <w:lang w:val="ro-RO"/>
        </w:rPr>
        <w:footnoteReference w:id="28"/>
      </w:r>
      <w:r w:rsidRPr="00A44A5B">
        <w:rPr>
          <w:lang w:val="ro-RO"/>
        </w:rPr>
        <w:t>. Astfel, în cadrul proiectului implementat de către HRE în parteneriat cu Consiliul Europei şi NORLAM "Reinforcing the fight against ill-treatment and impunity", pentru participanţii proiectului de instruire la distanţă au fost organizate 2 seminare regionale de perfecţionare a câte 3 zile, ce vizează consolidarea luptei împotriva relelor tratamente şi a impunităţii în Moldova</w:t>
      </w:r>
      <w:r w:rsidRPr="00A44A5B">
        <w:rPr>
          <w:vertAlign w:val="superscript"/>
          <w:lang w:val="ro-RO"/>
        </w:rPr>
        <w:footnoteReference w:id="29"/>
      </w:r>
      <w:r w:rsidRPr="00A44A5B">
        <w:rPr>
          <w:lang w:val="ro-RO"/>
        </w:rPr>
        <w:t xml:space="preserve">. </w:t>
      </w:r>
    </w:p>
    <w:p w:rsidR="00A44A5B" w:rsidRPr="00A44A5B" w:rsidRDefault="00A44A5B" w:rsidP="00A44A5B">
      <w:pPr>
        <w:pBdr>
          <w:bottom w:val="single" w:sz="12" w:space="1" w:color="auto"/>
        </w:pBdr>
        <w:jc w:val="both"/>
        <w:rPr>
          <w:lang w:val="ro-RO"/>
        </w:rPr>
      </w:pPr>
    </w:p>
    <w:p w:rsidR="00A44A5B" w:rsidRPr="00A44A5B" w:rsidRDefault="00A44A5B" w:rsidP="00A44A5B">
      <w:pPr>
        <w:pBdr>
          <w:bottom w:val="single" w:sz="12" w:space="1" w:color="auto"/>
        </w:pBdr>
        <w:jc w:val="both"/>
        <w:rPr>
          <w:lang w:val="ro-RO"/>
        </w:rPr>
      </w:pPr>
      <w:r w:rsidRPr="00A44A5B">
        <w:rPr>
          <w:lang w:val="ro-RO"/>
        </w:rPr>
        <w:t>- În parteneriat cu Asociaţia Radiodifuzorilor „Meridian”şi Fondaţia Soros-Moldova, HRE a desfăşurat 2 seminare pentru jurnalişti de la televiziune şi radio pe tema discriminării. Urmare a instruirilor desfăşurate, experţii HRE au oferit asistenţă consultativă telefonică şi on-line jurnaliştilor pe probleme de drept, şi a fost creată o reţea „Embassy Media” care serveşte ca bază pentru schimb de informaţie, purtarea discuţiilor asupra problemelor de drept. Această reţea, actualmente este o sursă importantă de informare pe segmentul apărării drepturilor omului pentru jurnalişti şi conducătorii televiziunilor regionale.</w:t>
      </w:r>
    </w:p>
    <w:p w:rsidR="00A44A5B" w:rsidRPr="00A44A5B" w:rsidRDefault="00A44A5B" w:rsidP="00A44A5B">
      <w:pPr>
        <w:pBdr>
          <w:bottom w:val="single" w:sz="12" w:space="1" w:color="auto"/>
        </w:pBdr>
        <w:jc w:val="both"/>
        <w:rPr>
          <w:lang w:val="ro-RO"/>
        </w:rPr>
      </w:pPr>
    </w:p>
    <w:p w:rsidR="00A44A5B" w:rsidRPr="00A44A5B" w:rsidRDefault="00A44A5B" w:rsidP="00A44A5B">
      <w:pPr>
        <w:pBdr>
          <w:bottom w:val="single" w:sz="12" w:space="1" w:color="auto"/>
        </w:pBdr>
        <w:jc w:val="both"/>
        <w:rPr>
          <w:lang w:val="ro-RO"/>
        </w:rPr>
      </w:pPr>
      <w:r w:rsidRPr="00A44A5B">
        <w:rPr>
          <w:lang w:val="ro-RO"/>
        </w:rPr>
        <w:t>Anul 2013:</w:t>
      </w:r>
    </w:p>
    <w:p w:rsidR="00A44A5B" w:rsidRPr="00A44A5B" w:rsidRDefault="00A44A5B" w:rsidP="00A44A5B">
      <w:pPr>
        <w:pBdr>
          <w:bottom w:val="single" w:sz="12" w:space="1" w:color="auto"/>
        </w:pBdr>
        <w:jc w:val="both"/>
        <w:rPr>
          <w:lang w:val="ro-RO"/>
        </w:rPr>
      </w:pPr>
      <w:r w:rsidRPr="00A44A5B">
        <w:rPr>
          <w:lang w:val="ro-RO"/>
        </w:rPr>
        <w:t>- Au avut loc 5 întâlniri tematice ale Clubului drepturilor omului, planificate fiind încă 3 la număr până la sfârşitul anului, unul dintre care va avea ca participanţi şi procurorii;</w:t>
      </w:r>
    </w:p>
    <w:p w:rsidR="00A44A5B" w:rsidRPr="00A44A5B" w:rsidRDefault="00A44A5B" w:rsidP="00A44A5B">
      <w:pPr>
        <w:pBdr>
          <w:bottom w:val="single" w:sz="12" w:space="1" w:color="auto"/>
        </w:pBdr>
        <w:jc w:val="both"/>
        <w:rPr>
          <w:lang w:val="ro-RO"/>
        </w:rPr>
      </w:pPr>
    </w:p>
    <w:p w:rsidR="00A44A5B" w:rsidRPr="00A44A5B" w:rsidRDefault="00A44A5B" w:rsidP="00A44A5B">
      <w:pPr>
        <w:pBdr>
          <w:bottom w:val="single" w:sz="12" w:space="1" w:color="auto"/>
        </w:pBdr>
        <w:jc w:val="both"/>
        <w:rPr>
          <w:lang w:val="ro-RO"/>
        </w:rPr>
      </w:pPr>
      <w:r w:rsidRPr="00A44A5B">
        <w:rPr>
          <w:lang w:val="ro-RO"/>
        </w:rPr>
        <w:t xml:space="preserve">- În parteneriat cu NORLAM, UNDP Moldova şi Consiliul Naţional pentru Asistenţa Juridică Garantată de Stat, este planificat un seminar de 3 zile pentru </w:t>
      </w:r>
      <w:r w:rsidRPr="00A44A5B">
        <w:rPr>
          <w:i/>
          <w:lang w:val="ro-RO"/>
        </w:rPr>
        <w:t>avocaţii care acordă asistenţă juridică garantată de stat</w:t>
      </w:r>
      <w:r w:rsidRPr="00A44A5B">
        <w:rPr>
          <w:lang w:val="ro-RO"/>
        </w:rPr>
        <w:t xml:space="preserve">, privind consolidarea capacităţilor de participare eficientă pe cazuri de litigare strategică întru apărarea drepturilor social-economice ale categoriilor vulnerabile. </w:t>
      </w:r>
    </w:p>
    <w:p w:rsidR="00A44A5B" w:rsidRPr="00A44A5B" w:rsidRDefault="00A44A5B" w:rsidP="00A44A5B">
      <w:pPr>
        <w:pBdr>
          <w:bottom w:val="single" w:sz="12" w:space="1" w:color="auto"/>
        </w:pBdr>
        <w:jc w:val="both"/>
        <w:rPr>
          <w:lang w:val="ro-RO"/>
        </w:rPr>
      </w:pPr>
    </w:p>
    <w:p w:rsidR="00A44A5B" w:rsidRPr="00A44A5B" w:rsidRDefault="00A44A5B" w:rsidP="00A44A5B">
      <w:pPr>
        <w:pBdr>
          <w:bottom w:val="single" w:sz="12" w:space="1" w:color="auto"/>
        </w:pBdr>
        <w:jc w:val="both"/>
        <w:rPr>
          <w:lang w:val="ro-RO"/>
        </w:rPr>
      </w:pPr>
      <w:r w:rsidRPr="00A44A5B">
        <w:rPr>
          <w:lang w:val="ro-RO"/>
        </w:rPr>
        <w:t xml:space="preserve">- În cadrul Programului comun al Uniunii Europene şi al Consiliului Europei “Consolidarea luptei contra relelor tratamente şi a impunităţii, s-a desfăşurat un seminar pentru 28 de </w:t>
      </w:r>
      <w:r w:rsidRPr="00A44A5B">
        <w:rPr>
          <w:i/>
          <w:lang w:val="ro-RO"/>
        </w:rPr>
        <w:t>agenţi de poliţie</w:t>
      </w:r>
      <w:r w:rsidRPr="00A44A5B">
        <w:rPr>
          <w:lang w:val="ro-RO"/>
        </w:rPr>
        <w:t>, eveniment organizat de Consiliul Europei şi Inspectoratul General al Poliţiei al Republicii Moldova, în colaborare cu Procuratura Generală, Misiunea Norvegiană de Experţi pentru Promovarea Supremaţiei Legii în Moldova (NORLAM) şi HRE</w:t>
      </w:r>
      <w:r w:rsidRPr="00A44A5B">
        <w:rPr>
          <w:vertAlign w:val="superscript"/>
          <w:lang w:val="ro-RO"/>
        </w:rPr>
        <w:footnoteReference w:id="30"/>
      </w:r>
      <w:r w:rsidRPr="00A44A5B">
        <w:rPr>
          <w:lang w:val="ro-RO"/>
        </w:rPr>
        <w:t>.</w:t>
      </w:r>
    </w:p>
    <w:p w:rsidR="00A44A5B" w:rsidRPr="00A44A5B" w:rsidRDefault="00A44A5B" w:rsidP="00A44A5B">
      <w:pPr>
        <w:pBdr>
          <w:bottom w:val="single" w:sz="12" w:space="1" w:color="auto"/>
        </w:pBdr>
        <w:jc w:val="both"/>
        <w:rPr>
          <w:lang w:val="ro-RO"/>
        </w:rPr>
      </w:pPr>
    </w:p>
    <w:p w:rsidR="00A44A5B" w:rsidRPr="00A44A5B" w:rsidRDefault="00A44A5B" w:rsidP="00A44A5B">
      <w:pPr>
        <w:ind w:left="360"/>
        <w:jc w:val="both"/>
        <w:rPr>
          <w:i/>
          <w:color w:val="FF0000"/>
          <w:lang w:val="ro-RO"/>
        </w:rPr>
      </w:pPr>
    </w:p>
    <w:p w:rsidR="00A44A5B" w:rsidRPr="00A44A5B" w:rsidRDefault="00A44A5B" w:rsidP="00A44A5B">
      <w:pPr>
        <w:numPr>
          <w:ilvl w:val="0"/>
          <w:numId w:val="25"/>
        </w:numPr>
        <w:jc w:val="both"/>
        <w:rPr>
          <w:b/>
          <w:i/>
          <w:lang w:val="ro-RO"/>
        </w:rPr>
      </w:pPr>
      <w:r w:rsidRPr="00A44A5B">
        <w:rPr>
          <w:b/>
          <w:i/>
          <w:lang w:val="ro-RO"/>
        </w:rPr>
        <w:t>Asociaţia Obştească “Centrul de Drept al Avocaţilor”(CDA)</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Pe parcursul anilor 2012-2013, de către Centrul de Drept al avocaţilor au fost organizate o serie de cursuri de instruire, după cum urmează:</w:t>
      </w:r>
    </w:p>
    <w:p w:rsidR="00A44A5B" w:rsidRPr="00A44A5B" w:rsidRDefault="00A44A5B" w:rsidP="00A44A5B">
      <w:pPr>
        <w:jc w:val="both"/>
        <w:rPr>
          <w:lang w:val="ro-RO"/>
        </w:rPr>
      </w:pPr>
    </w:p>
    <w:p w:rsidR="00A44A5B" w:rsidRPr="00A44A5B" w:rsidRDefault="00A44A5B" w:rsidP="00A44A5B">
      <w:pPr>
        <w:jc w:val="both"/>
        <w:rPr>
          <w:b/>
          <w:lang w:val="ro-RO"/>
        </w:rPr>
      </w:pPr>
      <w:r w:rsidRPr="00A44A5B">
        <w:rPr>
          <w:lang w:val="ro-RO"/>
        </w:rPr>
        <w:t xml:space="preserve">- CDA, în parteneriat cu Uniunea Avocaţilor din Republica Moldova, a lansat proiectul </w:t>
      </w:r>
      <w:r w:rsidRPr="00A44A5B">
        <w:rPr>
          <w:iCs/>
          <w:lang w:val="ro-RO"/>
        </w:rPr>
        <w:t>“Cunoştinţe consolidate ale avocaţilor privind cazurile de discriminare”</w:t>
      </w:r>
      <w:r w:rsidRPr="00A44A5B">
        <w:rPr>
          <w:i/>
          <w:lang w:val="ro-RO"/>
        </w:rPr>
        <w:t>,</w:t>
      </w:r>
      <w:r w:rsidRPr="00A44A5B">
        <w:rPr>
          <w:i/>
          <w:iCs/>
          <w:lang w:val="ro-RO"/>
        </w:rPr>
        <w:t xml:space="preserve"> </w:t>
      </w:r>
      <w:r w:rsidRPr="00A44A5B">
        <w:rPr>
          <w:lang w:val="ro-RO"/>
        </w:rPr>
        <w:t xml:space="preserve">finanţat de Fundaţia Soros-Moldova/Programul Egalitate şi Participare Civică. În cadrul proiectului au fost organizate </w:t>
      </w:r>
      <w:r w:rsidRPr="00A44A5B">
        <w:rPr>
          <w:lang w:val="ro-RO"/>
        </w:rPr>
        <w:lastRenderedPageBreak/>
        <w:t>cursuri de informare privind acordarea asistenţei juridice în cazurile de discriminare pentru circa 240 avocaţi din 6 regiuni ale ţării</w:t>
      </w:r>
      <w:r w:rsidRPr="00A44A5B">
        <w:rPr>
          <w:vertAlign w:val="superscript"/>
          <w:lang w:val="ro-RO"/>
        </w:rPr>
        <w:footnoteReference w:id="31"/>
      </w:r>
      <w:r w:rsidRPr="00A44A5B">
        <w:rPr>
          <w:lang w:val="ro-RO"/>
        </w:rPr>
        <w: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- 30 de judecători din ţară au beneficiat de instruire în cadrul unui atelier ce a abordat tematica dreptului de azil. Acelaşi subiect de discuţii a fost abordat în cadrul seminarului pentru avocaţii specializaţi care acordă asistenţă juridică garantată de stat;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pentru membrii Biroului Migraţiune şi Azil al Ministerului afacerilor interne a fost organizat seminarul cu tema „Apatridia” (an. 2012);</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instruiri la Clinica Juridică a Centrului de Drept al avocaţilor, pentru studenţii de la facultăţile de drept, după cum urmează: 10 Ateliere de instruire cu tematica „Dreptul de azil”, 10 Ateliere de instruire cu tematica „Scriere de proiecte”.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în colaborare cu Misiunea NORLAM, a fost organizată o Masă Rotundă pentru 30 avocaţi cu genericul „Asigurarea dreptului la apărare a bănuitului, învinuitului, inculpatului şi condamnatului în procedura penală”. </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Biroul Asociat de Avocaţi „Avocaţii Publici” (BAA „Avocaţii Publici”)</w:t>
      </w:r>
    </w:p>
    <w:p w:rsidR="00A44A5B" w:rsidRPr="00A44A5B" w:rsidRDefault="00A44A5B" w:rsidP="00A44A5B">
      <w:pPr>
        <w:jc w:val="both"/>
        <w:rPr>
          <w:i/>
          <w:color w:val="FF0000"/>
          <w:lang w:val="ro-RO"/>
        </w:rPr>
      </w:pPr>
    </w:p>
    <w:p w:rsidR="00A44A5B" w:rsidRPr="00A44A5B" w:rsidRDefault="00A44A5B" w:rsidP="00A44A5B">
      <w:pPr>
        <w:jc w:val="both"/>
        <w:rPr>
          <w:lang w:val="ro-MD"/>
        </w:rPr>
      </w:pPr>
      <w:r w:rsidRPr="00A44A5B">
        <w:rPr>
          <w:lang w:val="ro-MD"/>
        </w:rPr>
        <w:t>Acordând asistenţă juridică garantată de stat, avocaţii publici desfăşoară o activitate de interes public, implementând obligaţia statului de a asigura accesul la servicii juridice eficiente fiecărei persoane, indiferent de statutul financiar al acesteia</w:t>
      </w:r>
      <w:r w:rsidRPr="00A44A5B">
        <w:rPr>
          <w:vertAlign w:val="superscript"/>
          <w:lang w:val="ro-MD"/>
        </w:rPr>
        <w:footnoteReference w:id="32"/>
      </w:r>
      <w:r w:rsidRPr="00A44A5B">
        <w:rPr>
          <w:lang w:val="ro-MD"/>
        </w:rPr>
        <w:t>. În acest context, printre activităţile de bază, BAA „Avocaţii Publici” desfăşoară şi activităţi de instruire, unde grupul ţintă îl reprezintă cu precădere avocaţii şi avocaţii stagiari. Astfel, în parteneriat cu NORLAM, Fundaţia Soros Moldova, CNAJGS, de către BAA „Avocaţii Publici” s-au desfăşurat diverse cursuri de instruire, printre care unele au abordat tematica „Rolul avocatului al etapa urmării penale”.</w:t>
      </w:r>
    </w:p>
    <w:p w:rsidR="00A44A5B" w:rsidRPr="00A44A5B" w:rsidRDefault="00A44A5B" w:rsidP="00A44A5B">
      <w:pPr>
        <w:jc w:val="both"/>
        <w:rPr>
          <w:lang w:val="ro-MD"/>
        </w:rPr>
      </w:pPr>
    </w:p>
    <w:p w:rsidR="00A44A5B" w:rsidRPr="00A44A5B" w:rsidRDefault="00A44A5B" w:rsidP="00A44A5B">
      <w:pPr>
        <w:jc w:val="both"/>
        <w:rPr>
          <w:lang w:val="ro-MD"/>
        </w:rPr>
      </w:pPr>
      <w:r w:rsidRPr="00A44A5B">
        <w:rPr>
          <w:lang w:val="ro-MD"/>
        </w:rPr>
        <w:t>De asemenea, se necesită de menţionat faptul că un element important pentru BAA „Avocaţii Publici” îl reprezintă si autoinstruirea avocaţilor, care se face cu eforturi proprii, utilizând mijloacele pe care avocaţii le au la dispoziţie în cadrul BAA</w:t>
      </w:r>
      <w:r w:rsidRPr="00A44A5B">
        <w:rPr>
          <w:vertAlign w:val="superscript"/>
          <w:lang w:val="ro-MD"/>
        </w:rPr>
        <w:footnoteReference w:id="33"/>
      </w:r>
      <w:r w:rsidRPr="00A44A5B">
        <w:rPr>
          <w:lang w:val="ro-MD"/>
        </w:rPr>
        <w:t xml:space="preserve">. Astfel, pe parcursul anilor 2007-2010, lunar se desfăşura o întrunire a avocaţilor din cadrul biroului la care era supusă dezbaterii o anumită tematică pregătită anticipat de către un membru al biroului, ce viza lacunele sau problematicele sistemului judiciar din RM. </w:t>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Asociaţia Barourilor Americane Iniţiativa pentru Supremaţia Legii (ABA ROLI Moldova)</w:t>
      </w:r>
    </w:p>
    <w:p w:rsidR="00A44A5B" w:rsidRPr="00A44A5B" w:rsidRDefault="00A44A5B" w:rsidP="00A44A5B">
      <w:pPr>
        <w:jc w:val="both"/>
        <w:rPr>
          <w:i/>
          <w:lang w:val="ro-RO"/>
        </w:rPr>
      </w:pPr>
    </w:p>
    <w:p w:rsidR="00A44A5B" w:rsidRPr="00A44A5B" w:rsidRDefault="00A44A5B" w:rsidP="00A44A5B">
      <w:pPr>
        <w:jc w:val="both"/>
        <w:rPr>
          <w:lang w:val="ro-RO"/>
        </w:rPr>
      </w:pPr>
      <w:r w:rsidRPr="00A44A5B">
        <w:rPr>
          <w:lang w:val="ro-RO"/>
        </w:rPr>
        <w:t>Pe parcursul anului 2012 ABA ROLI Moldova a desfăşurat mai multe activităţi ce ţin de instruirea continuă a avocaţilor. Astfel, au fost organizate:</w:t>
      </w:r>
    </w:p>
    <w:p w:rsidR="00A44A5B" w:rsidRPr="00A44A5B" w:rsidRDefault="00A44A5B" w:rsidP="00A44A5B">
      <w:pPr>
        <w:jc w:val="both"/>
        <w:rPr>
          <w:lang w:val="ro-RO"/>
        </w:rPr>
      </w:pPr>
      <w:r w:rsidRPr="00A44A5B">
        <w:rPr>
          <w:lang w:val="ro-RO"/>
        </w:rPr>
        <w:t>- 9 seminare / cursuri de instruire în domeniul justiţiei penale şi etica profesională a avocatului;</w:t>
      </w:r>
    </w:p>
    <w:p w:rsidR="00A44A5B" w:rsidRPr="00A44A5B" w:rsidRDefault="00A44A5B" w:rsidP="00A44A5B">
      <w:pPr>
        <w:jc w:val="both"/>
        <w:rPr>
          <w:lang w:val="ro-RO"/>
        </w:rPr>
      </w:pPr>
      <w:r w:rsidRPr="00A44A5B">
        <w:rPr>
          <w:lang w:val="ro-RO"/>
        </w:rPr>
        <w:t>- 2 seminare de instruire a formatorilor;</w:t>
      </w:r>
    </w:p>
    <w:p w:rsidR="00A44A5B" w:rsidRPr="00A44A5B" w:rsidRDefault="00A44A5B" w:rsidP="00A44A5B">
      <w:pPr>
        <w:jc w:val="both"/>
        <w:rPr>
          <w:lang w:val="ro-RO"/>
        </w:rPr>
      </w:pPr>
      <w:r w:rsidRPr="00A44A5B">
        <w:rPr>
          <w:lang w:val="ro-RO"/>
        </w:rPr>
        <w:t xml:space="preserve">- 10 lecţii publice pentru avocaţi şi avocaţi stagiari, organizate în colaborare cu Amnesty International Moldova.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În total, de către ABA ROLI Moldova au fost instruiţi 867 avocaţi şi avocaţi stagiari cu participarea formatorilor naţionali şi internaţionali.</w:t>
      </w:r>
    </w:p>
    <w:p w:rsidR="00A44A5B" w:rsidRPr="00A44A5B" w:rsidRDefault="00A44A5B" w:rsidP="00A44A5B">
      <w:pPr>
        <w:jc w:val="both"/>
        <w:rPr>
          <w:lang w:val="ro-RO"/>
        </w:rPr>
      </w:pPr>
    </w:p>
    <w:p w:rsidR="00A44A5B" w:rsidRPr="00A44A5B" w:rsidRDefault="00A44A5B" w:rsidP="00A44A5B">
      <w:pPr>
        <w:jc w:val="both"/>
        <w:rPr>
          <w:lang w:val="ro-RO"/>
        </w:rPr>
      </w:pPr>
    </w:p>
    <w:p w:rsidR="00A44A5B" w:rsidRPr="00A44A5B" w:rsidRDefault="00A44A5B" w:rsidP="00A44A5B">
      <w:pPr>
        <w:jc w:val="both"/>
        <w:rPr>
          <w:lang w:val="ro-RO"/>
        </w:rPr>
      </w:pPr>
    </w:p>
    <w:p w:rsidR="00A44A5B" w:rsidRPr="00A44A5B" w:rsidRDefault="00A44A5B" w:rsidP="00A44A5B">
      <w:pPr>
        <w:jc w:val="both"/>
        <w:rPr>
          <w:i/>
          <w:lang w:val="ro-RO"/>
        </w:rPr>
      </w:pPr>
    </w:p>
    <w:p w:rsidR="00A44A5B" w:rsidRPr="00A44A5B" w:rsidRDefault="00A44A5B" w:rsidP="00A44A5B">
      <w:pPr>
        <w:numPr>
          <w:ilvl w:val="0"/>
          <w:numId w:val="25"/>
        </w:numPr>
        <w:jc w:val="both"/>
        <w:rPr>
          <w:b/>
          <w:i/>
          <w:lang w:val="ro-RO"/>
        </w:rPr>
      </w:pPr>
      <w:r w:rsidRPr="00A44A5B">
        <w:rPr>
          <w:b/>
          <w:i/>
          <w:lang w:val="ro-RO"/>
        </w:rPr>
        <w:t xml:space="preserve">Institutul pentru Drepturile Omului în Moldova (IDOM)         </w:t>
      </w:r>
    </w:p>
    <w:p w:rsidR="00A44A5B" w:rsidRPr="00A44A5B" w:rsidRDefault="00A44A5B" w:rsidP="00A44A5B">
      <w:pPr>
        <w:jc w:val="both"/>
        <w:rPr>
          <w:i/>
          <w:color w:val="FF0000"/>
          <w:lang w:val="ro-RO"/>
        </w:rPr>
      </w:pPr>
    </w:p>
    <w:p w:rsidR="00A44A5B" w:rsidRPr="00A44A5B" w:rsidRDefault="00A44A5B" w:rsidP="00A44A5B">
      <w:pPr>
        <w:jc w:val="both"/>
        <w:rPr>
          <w:lang w:val="ro-RO"/>
        </w:rPr>
      </w:pPr>
      <w:r w:rsidRPr="00A44A5B">
        <w:rPr>
          <w:lang w:val="ro-RO"/>
        </w:rPr>
        <w:t>- În domeniul drepturilor omului, nediscriminării, confidenţialităţii si reparării prejudiciilor morale ale persoanelor care trăiesc cu HIV, de către IDOM au fost organizate training-uri periodice pentru avocaţi, avocaţi stagiari şi alţi jurişti în domeniul drepturilor omului</w:t>
      </w:r>
      <w:r w:rsidRPr="00A44A5B">
        <w:rPr>
          <w:vertAlign w:val="superscript"/>
          <w:lang w:val="ro-RO"/>
        </w:rPr>
        <w:footnoteReference w:id="34"/>
      </w:r>
      <w:r w:rsidRPr="00A44A5B">
        <w:rPr>
          <w:lang w:val="ro-RO"/>
        </w:rPr>
        <w:t>. Astfel, pe parcursul anului 2010-2012 au fost instruiţi 801 persoane;</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de asemenea, pe parcursul anului 2010-2012 au fost instruiţi aproximativ 100 persoane – asistenţi sociali, lideri de ONG-uri, voluntari - din cadrul ONG-urilor ce oferă sprijin persoanelor ce trăiesc cu HIV;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de către IDOM, în perioada anului 2012-2013 sunt realizate acţiuni de instruire şi pentru cadrele medicale privind apărarea drepturilor omului în locurile de detenţie. </w:t>
      </w:r>
    </w:p>
    <w:p w:rsidR="00A44A5B" w:rsidRPr="00A44A5B" w:rsidRDefault="00A44A5B" w:rsidP="00A44A5B">
      <w:pPr>
        <w:jc w:val="both"/>
        <w:rPr>
          <w:i/>
          <w:lang w:val="ro-RO"/>
        </w:rPr>
      </w:pPr>
    </w:p>
    <w:p w:rsidR="00A44A5B" w:rsidRPr="00A44A5B" w:rsidRDefault="00A44A5B" w:rsidP="00A44A5B">
      <w:pPr>
        <w:jc w:val="both"/>
        <w:rPr>
          <w:color w:val="FF0000"/>
          <w:lang w:val="ro-RO"/>
        </w:rPr>
      </w:pPr>
    </w:p>
    <w:p w:rsidR="00A44A5B" w:rsidRPr="00A44A5B" w:rsidRDefault="00A44A5B" w:rsidP="00A44A5B">
      <w:pPr>
        <w:numPr>
          <w:ilvl w:val="0"/>
          <w:numId w:val="25"/>
        </w:numPr>
        <w:jc w:val="both"/>
        <w:rPr>
          <w:b/>
          <w:i/>
          <w:lang w:val="ro-RO"/>
        </w:rPr>
      </w:pPr>
      <w:r w:rsidRPr="00A44A5B">
        <w:rPr>
          <w:b/>
          <w:i/>
          <w:lang w:val="ro-RO"/>
        </w:rPr>
        <w:t>Asociaţia Obştească „Centrul de Informare în domeniul Drepturilor Omului” (CIDO)</w:t>
      </w:r>
    </w:p>
    <w:p w:rsidR="00A44A5B" w:rsidRPr="00A44A5B" w:rsidRDefault="00A44A5B" w:rsidP="00A44A5B">
      <w:pPr>
        <w:jc w:val="both"/>
        <w:rPr>
          <w:i/>
          <w:color w:val="FF0000"/>
          <w:lang w:val="ro-RO"/>
        </w:rPr>
      </w:pPr>
    </w:p>
    <w:p w:rsidR="00A44A5B" w:rsidRPr="00A44A5B" w:rsidRDefault="00A44A5B" w:rsidP="00A44A5B">
      <w:pPr>
        <w:jc w:val="both"/>
        <w:rPr>
          <w:lang w:val="ro-RO"/>
        </w:rPr>
      </w:pPr>
      <w:r w:rsidRPr="00A44A5B">
        <w:rPr>
          <w:lang w:val="ro-RO"/>
        </w:rPr>
        <w:t xml:space="preserve">Printre activităţile desfăşurate de către CIDO, se regăsesc şi cele de instruire. Astfel, pe parcursul anului 2013 au fost organizate 4 seminare (în mun. Bălţi, mun. Chişinău, or. Cahul) cu tematica ”Bloggerii apără drepturile omului”, destinate avocaţilor, juriştilor, tinerilor şi activişti interesaţi să promoveze tematica drepturilor omului pe internet şi pe reţelele de socializare </w:t>
      </w:r>
      <w:r w:rsidRPr="00A44A5B">
        <w:rPr>
          <w:vertAlign w:val="superscript"/>
          <w:lang w:val="ro-RO"/>
        </w:rPr>
        <w:footnoteReference w:id="35"/>
      </w:r>
      <w:r w:rsidRPr="00A44A5B">
        <w:rPr>
          <w:lang w:val="ro-RO"/>
        </w:rPr>
        <w:t xml:space="preserve">. </w:t>
      </w:r>
    </w:p>
    <w:p w:rsidR="00A44A5B" w:rsidRPr="00A44A5B" w:rsidRDefault="00A44A5B" w:rsidP="00A44A5B">
      <w:pPr>
        <w:jc w:val="both"/>
        <w:rPr>
          <w:lang w:val="ro-RO"/>
        </w:rPr>
      </w:pPr>
    </w:p>
    <w:p w:rsidR="00A44A5B" w:rsidRPr="00A44A5B" w:rsidRDefault="00A44A5B" w:rsidP="00A44A5B">
      <w:pPr>
        <w:jc w:val="both"/>
        <w:rPr>
          <w:color w:val="000000"/>
          <w:lang w:val="ro-RO"/>
        </w:rPr>
      </w:pPr>
      <w:r w:rsidRPr="00A44A5B">
        <w:rPr>
          <w:lang w:val="ro-RO"/>
        </w:rPr>
        <w:t xml:space="preserve">De asemenea, proiectul CIDO </w:t>
      </w:r>
      <w:r w:rsidRPr="00A44A5B">
        <w:rPr>
          <w:color w:val="000000"/>
          <w:lang w:val="ro-RO"/>
        </w:rPr>
        <w:t>„Academia Drepturilor Omului”</w:t>
      </w:r>
      <w:r w:rsidRPr="00A44A5B">
        <w:rPr>
          <w:lang w:val="ro-RO"/>
        </w:rPr>
        <w:t xml:space="preserve"> </w:t>
      </w:r>
      <w:r w:rsidRPr="00A44A5B">
        <w:rPr>
          <w:color w:val="000000"/>
          <w:lang w:val="ro-RO"/>
        </w:rPr>
        <w:t>implementat cu susţinerea Oficiului Comisarului Înalt ONU pentru Drepturile Omului şi Programul Naţiunilor Unite pentru Dezvoltare,</w:t>
      </w:r>
      <w:r w:rsidRPr="00A44A5B">
        <w:rPr>
          <w:lang w:val="ro-RO"/>
        </w:rPr>
        <w:t xml:space="preserve"> a inclus cursul semi-anual</w:t>
      </w:r>
      <w:r w:rsidRPr="00A44A5B">
        <w:rPr>
          <w:color w:val="000000"/>
          <w:lang w:val="ro-RO"/>
        </w:rPr>
        <w:t xml:space="preserve"> în „Bazele drepturilor omului şi lucrului în domeniul combaterii discriminării” </w:t>
      </w:r>
      <w:r w:rsidRPr="00A44A5B">
        <w:rPr>
          <w:lang w:val="ro-RO"/>
        </w:rPr>
        <w:t xml:space="preserve">(1 octombrie – 24 decembrie 2011) şi „Planificare, implementarea şi evaluarea proiectelor în domeniul drepturilor omului şi anti-discriminării” (ianuarie şi februarie 2012), având ca participanţi </w:t>
      </w:r>
      <w:r w:rsidRPr="00A44A5B">
        <w:rPr>
          <w:color w:val="000000"/>
          <w:lang w:val="ro-RO"/>
        </w:rPr>
        <w:t>voluntari începători în domeniul drepturilor omului, jurnalişti şi colaboratorii media, funcţionari publici care activează în domenii aferente drepturilor omului.</w:t>
      </w:r>
      <w:r w:rsidRPr="00A44A5B">
        <w:rPr>
          <w:vertAlign w:val="superscript"/>
          <w:lang w:val="ro-RO"/>
        </w:rPr>
        <w:footnoteReference w:id="36"/>
      </w:r>
    </w:p>
    <w:p w:rsidR="00A44A5B" w:rsidRPr="00A44A5B" w:rsidRDefault="00A44A5B" w:rsidP="00A44A5B">
      <w:pPr>
        <w:jc w:val="both"/>
        <w:rPr>
          <w:lang w:val="ro-RO"/>
        </w:rPr>
      </w:pPr>
    </w:p>
    <w:p w:rsidR="00A44A5B" w:rsidRPr="00A44A5B" w:rsidRDefault="00A44A5B" w:rsidP="00A44A5B">
      <w:pPr>
        <w:jc w:val="both"/>
        <w:rPr>
          <w:color w:val="000000"/>
          <w:lang w:val="ro-RO"/>
        </w:rPr>
      </w:pPr>
      <w:r w:rsidRPr="00A44A5B">
        <w:rPr>
          <w:lang w:val="ro-RO"/>
        </w:rPr>
        <w:t xml:space="preserve">În cadrul aceluiaşi proiect a fost organizat un </w:t>
      </w:r>
      <w:r w:rsidRPr="00A44A5B">
        <w:rPr>
          <w:color w:val="000000"/>
          <w:lang w:val="ro-RO"/>
        </w:rPr>
        <w:t>curs semi-anual (29 septembrie 2012 – 31 martie 2013) în activitatea practică de promovare a drepturilor omului şi nediscriminării la nivel local. Au fost încurajaţi să participe toţi activiştii locali sau persoanele care doresc să devină activi în promovarea drepturilor omului.</w:t>
      </w:r>
      <w:r w:rsidRPr="00A44A5B">
        <w:rPr>
          <w:color w:val="000000"/>
          <w:vertAlign w:val="superscript"/>
          <w:lang w:val="ro-RO"/>
        </w:rPr>
        <w:footnoteReference w:id="37"/>
      </w:r>
    </w:p>
    <w:p w:rsidR="00A44A5B" w:rsidRPr="00A44A5B" w:rsidRDefault="00A44A5B" w:rsidP="00A44A5B">
      <w:pPr>
        <w:jc w:val="both"/>
        <w:rPr>
          <w:lang w:val="ro-RO"/>
        </w:rPr>
      </w:pPr>
    </w:p>
    <w:p w:rsidR="00A44A5B" w:rsidRPr="00A44A5B" w:rsidRDefault="00A44A5B" w:rsidP="00A44A5B">
      <w:pPr>
        <w:numPr>
          <w:ilvl w:val="0"/>
          <w:numId w:val="25"/>
        </w:numPr>
        <w:jc w:val="both"/>
        <w:rPr>
          <w:b/>
          <w:i/>
          <w:lang w:val="ro-RO"/>
        </w:rPr>
      </w:pPr>
      <w:r w:rsidRPr="00A44A5B">
        <w:rPr>
          <w:b/>
          <w:i/>
          <w:lang w:val="ro-RO"/>
        </w:rPr>
        <w:t>Coaliţia nediscriminare (CND)</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Misiunea CND este de a contribui la elaborarea şi aplicarea consecventă a unui cadru legal nediscriminatoriu în Republica Moldova, precum şi promovarea practicilor pozitive internaţionale privind nediscriminarea</w:t>
      </w:r>
      <w:r w:rsidRPr="00A44A5B">
        <w:rPr>
          <w:vertAlign w:val="superscript"/>
          <w:lang w:val="ro-RO"/>
        </w:rPr>
        <w:footnoteReference w:id="38"/>
      </w:r>
      <w:r w:rsidRPr="00A44A5B">
        <w:rPr>
          <w:lang w:val="ro-RO"/>
        </w:rPr>
        <w:t xml:space="preserve">. În acest context, printre activităţile propuse de către CND întru realizarea obiectivelor, se regăseşte promovarea şi desfăşurarea activităţilor de </w:t>
      </w:r>
      <w:r w:rsidRPr="00A44A5B">
        <w:rPr>
          <w:lang w:val="ro-RO"/>
        </w:rPr>
        <w:lastRenderedPageBreak/>
        <w:t xml:space="preserve">instruire în domeniul prevenirii şi combaterii discriminării. În acest sens, de către CND au fost organizate următoarele activităţi: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în perioada lunii august 2013 un grup de parajurişti (16 la număr) şi avocaţi (5 la număr) au participat la un seminar dedicat tematicii nediscriminării şi egalităţii. Seminarul de instruire face parte din cadrul proiectului Promovarea Politicilor Nediscriminatorii în Republica Moldova, finanţat de către Civil Rights Defenders, Suedia</w:t>
      </w:r>
      <w:r w:rsidRPr="00A44A5B">
        <w:rPr>
          <w:vertAlign w:val="superscript"/>
          <w:lang w:val="ro-RO"/>
        </w:rPr>
        <w:footnoteReference w:id="39"/>
      </w:r>
      <w:r w:rsidRPr="00A44A5B">
        <w:rPr>
          <w:lang w:val="ro-RO"/>
        </w:rPr>
        <w:t xml:space="preserve">. </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xml:space="preserve">- </w:t>
      </w:r>
      <w:r w:rsidRPr="00A44A5B">
        <w:rPr>
          <w:lang w:val="it-IT"/>
        </w:rPr>
        <w:t>organizaţiile membre ale Coaliţiei Nediscriminare beneficiază anual de un seminar menit să întăreasca capacităţile organizaţionale individuale şi comune pentru o activitate mai eficientă</w:t>
      </w:r>
      <w:r w:rsidRPr="00A44A5B">
        <w:rPr>
          <w:vertAlign w:val="superscript"/>
          <w:lang w:val="it-IT"/>
        </w:rPr>
        <w:footnoteReference w:id="40"/>
      </w:r>
      <w:r w:rsidRPr="00A44A5B">
        <w:rPr>
          <w:lang w:val="ro-RO"/>
        </w:rPr>
        <w:t>;</w:t>
      </w:r>
    </w:p>
    <w:p w:rsidR="00A44A5B" w:rsidRPr="00A44A5B" w:rsidRDefault="00A44A5B" w:rsidP="00A44A5B">
      <w:pPr>
        <w:jc w:val="both"/>
        <w:rPr>
          <w:lang w:val="ro-RO"/>
        </w:rPr>
      </w:pPr>
    </w:p>
    <w:p w:rsidR="00A44A5B" w:rsidRPr="00A44A5B" w:rsidRDefault="00A44A5B" w:rsidP="00A44A5B">
      <w:pPr>
        <w:jc w:val="both"/>
        <w:rPr>
          <w:lang w:val="ro-RO"/>
        </w:rPr>
      </w:pPr>
      <w:r w:rsidRPr="00A44A5B">
        <w:rPr>
          <w:lang w:val="ro-RO"/>
        </w:rPr>
        <w:t>- desfăşurarea unui training în 3 etape pe parcursul anului 2012 a avut scopul de a forma o reţea de multiplicatori din regiuni, interesaţi să promoveze principiile nediscriminării şi de a crea o reţea naţională de formatori</w:t>
      </w:r>
      <w:r w:rsidRPr="00A44A5B">
        <w:rPr>
          <w:vertAlign w:val="superscript"/>
          <w:lang w:val="ro-RO"/>
        </w:rPr>
        <w:footnoteReference w:id="41"/>
      </w:r>
      <w:r w:rsidRPr="00A44A5B">
        <w:rPr>
          <w:lang w:val="ro-RO"/>
        </w:rPr>
        <w:t xml:space="preserve">.  </w:t>
      </w:r>
    </w:p>
    <w:p w:rsidR="00A44A5B" w:rsidRPr="00A44A5B" w:rsidRDefault="00A44A5B" w:rsidP="00A44A5B">
      <w:pPr>
        <w:ind w:left="360"/>
        <w:jc w:val="both"/>
        <w:rPr>
          <w:lang w:val="ro-RO"/>
        </w:rPr>
      </w:pPr>
    </w:p>
    <w:p w:rsidR="00A44A5B" w:rsidRPr="00A44A5B" w:rsidRDefault="00A44A5B" w:rsidP="00A44A5B">
      <w:pPr>
        <w:ind w:left="360"/>
        <w:jc w:val="both"/>
        <w:rPr>
          <w:lang w:val="ro-RO"/>
        </w:rPr>
      </w:pPr>
    </w:p>
    <w:p w:rsidR="00A44A5B" w:rsidRPr="00A44A5B" w:rsidRDefault="00A44A5B" w:rsidP="00A44A5B">
      <w:pPr>
        <w:numPr>
          <w:ilvl w:val="0"/>
          <w:numId w:val="25"/>
        </w:numPr>
        <w:jc w:val="both"/>
        <w:rPr>
          <w:lang w:val="ro-RO"/>
        </w:rPr>
      </w:pPr>
      <w:r w:rsidRPr="00A44A5B">
        <w:rPr>
          <w:lang w:val="ro-RO"/>
        </w:rPr>
        <w:t>Mai nou, pot fi întâlnite cazuri de organizare a cursurilor de instruire cu plată. Astfel, un exemplu în acest sens este cursul de instruire în domeniul discriminării, format din 4 module</w:t>
      </w:r>
      <w:r w:rsidRPr="00A44A5B">
        <w:rPr>
          <w:vertAlign w:val="superscript"/>
          <w:lang w:val="ro-RO"/>
        </w:rPr>
        <w:footnoteReference w:id="42"/>
      </w:r>
      <w:r w:rsidRPr="00A44A5B">
        <w:rPr>
          <w:lang w:val="ro-RO"/>
        </w:rPr>
        <w:t xml:space="preserve">. Categoria participanţilor acestui curs nu este limitată, astfel că oricine interesat de subiect poate beneficia.   </w:t>
      </w:r>
    </w:p>
    <w:p w:rsidR="00A44A5B" w:rsidRPr="00A44A5B" w:rsidRDefault="00A44A5B" w:rsidP="00A44A5B">
      <w:pPr>
        <w:ind w:left="360"/>
        <w:jc w:val="both"/>
        <w:rPr>
          <w:lang w:val="ro-RO"/>
        </w:rPr>
      </w:pPr>
    </w:p>
    <w:p w:rsidR="00A44A5B" w:rsidRPr="00A44A5B" w:rsidRDefault="00A44A5B" w:rsidP="00A44A5B">
      <w:pPr>
        <w:ind w:left="360"/>
        <w:jc w:val="both"/>
        <w:rPr>
          <w:lang w:val="ro-RO"/>
        </w:rPr>
      </w:pPr>
    </w:p>
    <w:p w:rsidR="00A44A5B" w:rsidRPr="00A44A5B" w:rsidRDefault="00A44A5B" w:rsidP="00A44A5B">
      <w:pPr>
        <w:jc w:val="both"/>
        <w:rPr>
          <w:lang w:val="ro-RO"/>
        </w:rPr>
      </w:pPr>
    </w:p>
    <w:p w:rsidR="00A44A5B" w:rsidRPr="00A44A5B" w:rsidRDefault="00A44A5B" w:rsidP="00A44A5B">
      <w:pPr>
        <w:ind w:left="360"/>
        <w:jc w:val="both"/>
        <w:rPr>
          <w:lang w:val="ro-RO"/>
        </w:rPr>
      </w:pPr>
    </w:p>
    <w:p w:rsidR="00A44A5B" w:rsidRPr="00A44A5B" w:rsidRDefault="00A44A5B" w:rsidP="00A44A5B">
      <w:pPr>
        <w:ind w:left="360"/>
        <w:jc w:val="both"/>
        <w:rPr>
          <w:lang w:val="ro-RO"/>
        </w:rPr>
      </w:pPr>
    </w:p>
    <w:p w:rsidR="00A44A5B" w:rsidRPr="00A44A5B" w:rsidRDefault="00A44A5B" w:rsidP="00A44A5B">
      <w:pPr>
        <w:jc w:val="both"/>
        <w:rPr>
          <w:lang w:val="ro-RO"/>
        </w:rPr>
        <w:sectPr w:rsidR="00A44A5B" w:rsidRPr="00A44A5B" w:rsidSect="00465712">
          <w:footerReference w:type="even" r:id="rId27"/>
          <w:footerReference w:type="default" r:id="rId28"/>
          <w:pgSz w:w="11906" w:h="16838"/>
          <w:pgMar w:top="1438" w:right="850" w:bottom="1134" w:left="1701" w:header="708" w:footer="708" w:gutter="0"/>
          <w:cols w:space="708"/>
          <w:docGrid w:linePitch="360"/>
        </w:sectPr>
      </w:pPr>
    </w:p>
    <w:p w:rsidR="00A44A5B" w:rsidRPr="00A44A5B" w:rsidRDefault="00A44A5B" w:rsidP="00A44A5B">
      <w:pPr>
        <w:jc w:val="right"/>
        <w:rPr>
          <w:i/>
          <w:lang w:val="ro-RO"/>
        </w:rPr>
      </w:pPr>
      <w:r w:rsidRPr="00A44A5B">
        <w:rPr>
          <w:i/>
          <w:lang w:val="ro-RO"/>
        </w:rPr>
        <w:lastRenderedPageBreak/>
        <w:t>Anexa 1</w:t>
      </w:r>
    </w:p>
    <w:p w:rsidR="00A44A5B" w:rsidRPr="00A44A5B" w:rsidRDefault="00A44A5B" w:rsidP="00A44A5B">
      <w:pPr>
        <w:jc w:val="right"/>
        <w:rPr>
          <w:lang w:val="ro-RO"/>
        </w:rPr>
      </w:pP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361"/>
        <w:gridCol w:w="971"/>
        <w:gridCol w:w="391"/>
        <w:gridCol w:w="382"/>
        <w:gridCol w:w="956"/>
        <w:gridCol w:w="338"/>
        <w:gridCol w:w="584"/>
        <w:gridCol w:w="391"/>
        <w:gridCol w:w="427"/>
        <w:gridCol w:w="336"/>
        <w:gridCol w:w="382"/>
        <w:gridCol w:w="382"/>
        <w:gridCol w:w="382"/>
        <w:gridCol w:w="400"/>
        <w:gridCol w:w="345"/>
        <w:gridCol w:w="3060"/>
        <w:gridCol w:w="2700"/>
      </w:tblGrid>
      <w:tr w:rsidR="00A44A5B" w:rsidRPr="00A44A5B" w:rsidTr="006D1125">
        <w:trPr>
          <w:trHeight w:val="1234"/>
        </w:trPr>
        <w:tc>
          <w:tcPr>
            <w:tcW w:w="2447" w:type="dxa"/>
            <w:shd w:val="clear" w:color="auto" w:fill="auto"/>
          </w:tcPr>
          <w:p w:rsidR="00A44A5B" w:rsidRPr="00A44A5B" w:rsidRDefault="00A44A5B" w:rsidP="00A44A5B">
            <w:pPr>
              <w:rPr>
                <w:b/>
                <w:sz w:val="28"/>
                <w:szCs w:val="28"/>
                <w:lang w:val="ro-RO"/>
              </w:rPr>
            </w:pPr>
          </w:p>
          <w:p w:rsidR="00A44A5B" w:rsidRPr="00A44A5B" w:rsidRDefault="00A44A5B" w:rsidP="00A44A5B">
            <w:pPr>
              <w:jc w:val="center"/>
              <w:rPr>
                <w:b/>
                <w:sz w:val="28"/>
                <w:szCs w:val="28"/>
                <w:lang w:val="ro-RO"/>
              </w:rPr>
            </w:pPr>
            <w:r w:rsidRPr="00A44A5B">
              <w:rPr>
                <w:b/>
                <w:sz w:val="28"/>
                <w:szCs w:val="28"/>
                <w:lang w:val="ro-RO"/>
              </w:rPr>
              <w:t>Subiecţi implicaţi în organizarea instruirilor</w:t>
            </w:r>
          </w:p>
        </w:tc>
        <w:tc>
          <w:tcPr>
            <w:tcW w:w="7028" w:type="dxa"/>
            <w:gridSpan w:val="15"/>
            <w:shd w:val="clear" w:color="auto" w:fill="auto"/>
          </w:tcPr>
          <w:p w:rsidR="00A44A5B" w:rsidRPr="00A44A5B" w:rsidRDefault="00A44A5B" w:rsidP="00A44A5B">
            <w:pPr>
              <w:rPr>
                <w:b/>
                <w:sz w:val="28"/>
                <w:szCs w:val="28"/>
                <w:lang w:val="ro-RO"/>
              </w:rPr>
            </w:pPr>
          </w:p>
          <w:p w:rsidR="00A44A5B" w:rsidRPr="00A44A5B" w:rsidRDefault="00A44A5B" w:rsidP="00A44A5B">
            <w:pPr>
              <w:jc w:val="center"/>
              <w:rPr>
                <w:sz w:val="32"/>
                <w:szCs w:val="32"/>
                <w:lang w:val="ro-RO"/>
              </w:rPr>
            </w:pPr>
            <w:r w:rsidRPr="00A44A5B">
              <w:rPr>
                <w:b/>
                <w:sz w:val="32"/>
                <w:szCs w:val="32"/>
                <w:lang w:val="ro-RO"/>
              </w:rPr>
              <w:t>Subiecţii instruiţi</w:t>
            </w:r>
          </w:p>
        </w:tc>
        <w:tc>
          <w:tcPr>
            <w:tcW w:w="3060" w:type="dxa"/>
            <w:shd w:val="clear" w:color="auto" w:fill="auto"/>
          </w:tcPr>
          <w:p w:rsidR="00A44A5B" w:rsidRPr="00A44A5B" w:rsidRDefault="00A44A5B" w:rsidP="00A44A5B">
            <w:pPr>
              <w:rPr>
                <w:b/>
                <w:sz w:val="28"/>
                <w:szCs w:val="28"/>
                <w:lang w:val="ro-RO"/>
              </w:rPr>
            </w:pPr>
          </w:p>
          <w:p w:rsidR="00A44A5B" w:rsidRPr="00A44A5B" w:rsidRDefault="00A44A5B" w:rsidP="00A44A5B">
            <w:pPr>
              <w:jc w:val="center"/>
              <w:rPr>
                <w:b/>
                <w:sz w:val="28"/>
                <w:szCs w:val="28"/>
                <w:lang w:val="ro-RO"/>
              </w:rPr>
            </w:pPr>
            <w:r w:rsidRPr="00A44A5B">
              <w:rPr>
                <w:b/>
                <w:sz w:val="28"/>
                <w:szCs w:val="28"/>
                <w:lang w:val="ro-RO"/>
              </w:rPr>
              <w:t>Tematicile abordate în cadrul instruirilor</w:t>
            </w:r>
            <w:r w:rsidRPr="00A44A5B">
              <w:rPr>
                <w:b/>
                <w:sz w:val="28"/>
                <w:szCs w:val="28"/>
                <w:vertAlign w:val="superscript"/>
                <w:lang w:val="ro-RO"/>
              </w:rPr>
              <w:footnoteReference w:id="43"/>
            </w:r>
          </w:p>
        </w:tc>
        <w:tc>
          <w:tcPr>
            <w:tcW w:w="2700" w:type="dxa"/>
            <w:shd w:val="clear" w:color="auto" w:fill="auto"/>
          </w:tcPr>
          <w:p w:rsidR="00A44A5B" w:rsidRPr="00A44A5B" w:rsidRDefault="00A44A5B" w:rsidP="00A44A5B">
            <w:pPr>
              <w:rPr>
                <w:b/>
                <w:sz w:val="28"/>
                <w:szCs w:val="28"/>
                <w:lang w:val="ro-RO"/>
              </w:rPr>
            </w:pPr>
          </w:p>
          <w:p w:rsidR="00A44A5B" w:rsidRPr="00A44A5B" w:rsidRDefault="00A44A5B" w:rsidP="00A44A5B">
            <w:pPr>
              <w:jc w:val="center"/>
              <w:rPr>
                <w:b/>
                <w:sz w:val="28"/>
                <w:szCs w:val="28"/>
                <w:lang w:val="ro-RO"/>
              </w:rPr>
            </w:pPr>
            <w:r w:rsidRPr="00A44A5B">
              <w:rPr>
                <w:b/>
                <w:sz w:val="28"/>
                <w:szCs w:val="28"/>
                <w:lang w:val="ro-RO"/>
              </w:rPr>
              <w:t>Date numerice ce vizează instruirile desfăşurate</w:t>
            </w:r>
          </w:p>
          <w:p w:rsidR="00A44A5B" w:rsidRPr="00A44A5B" w:rsidRDefault="00A44A5B" w:rsidP="00A44A5B">
            <w:pPr>
              <w:ind w:firstLine="708"/>
              <w:rPr>
                <w:sz w:val="20"/>
                <w:szCs w:val="20"/>
                <w:lang w:val="ro-RO"/>
              </w:rPr>
            </w:pPr>
          </w:p>
        </w:tc>
      </w:tr>
      <w:tr w:rsidR="00A44A5B" w:rsidRPr="00A44A5B" w:rsidTr="006D1125">
        <w:trPr>
          <w:trHeight w:val="4472"/>
        </w:trPr>
        <w:tc>
          <w:tcPr>
            <w:tcW w:w="2447" w:type="dxa"/>
            <w:shd w:val="clear" w:color="auto" w:fill="auto"/>
          </w:tcPr>
          <w:p w:rsidR="00A44A5B" w:rsidRPr="00A44A5B" w:rsidRDefault="00A44A5B" w:rsidP="00A44A5B">
            <w:pPr>
              <w:jc w:val="center"/>
              <w:rPr>
                <w:sz w:val="28"/>
                <w:szCs w:val="28"/>
                <w:lang w:val="ro-RO"/>
              </w:rPr>
            </w:pPr>
            <w:r w:rsidRPr="00A44A5B">
              <w:rPr>
                <w:i/>
                <w:sz w:val="28"/>
                <w:szCs w:val="28"/>
                <w:lang w:val="ro-RO"/>
              </w:rPr>
              <w:t>Misiunea OSCE în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Gestionarea cauzelor de trafic de fiinţe umane şi violenţa domestică;</w:t>
            </w:r>
          </w:p>
          <w:p w:rsidR="00A44A5B" w:rsidRPr="00A44A5B" w:rsidRDefault="00A44A5B" w:rsidP="00A44A5B">
            <w:pPr>
              <w:jc w:val="both"/>
              <w:rPr>
                <w:lang w:val="ro-RO"/>
              </w:rPr>
            </w:pPr>
            <w:r w:rsidRPr="00A44A5B">
              <w:rPr>
                <w:lang w:val="ro-RO"/>
              </w:rPr>
              <w:t>- combatere a traficului de fiinţe umane, violenţei în familie şi a abuzului sexual asupra copiilor pe Internet;</w:t>
            </w:r>
          </w:p>
          <w:p w:rsidR="00A44A5B" w:rsidRPr="00A44A5B" w:rsidRDefault="00A44A5B" w:rsidP="00A44A5B">
            <w:pPr>
              <w:jc w:val="both"/>
              <w:rPr>
                <w:lang w:val="ro-RO"/>
              </w:rPr>
            </w:pPr>
            <w:r w:rsidRPr="00A44A5B">
              <w:rPr>
                <w:lang w:val="ro-RO"/>
              </w:rPr>
              <w:t>- egalitatea de gen şi nediscriminarea în politicile de securitate;</w:t>
            </w:r>
          </w:p>
          <w:p w:rsidR="00A44A5B" w:rsidRPr="00A44A5B" w:rsidRDefault="00A44A5B" w:rsidP="00A44A5B">
            <w:pPr>
              <w:jc w:val="both"/>
              <w:rPr>
                <w:lang w:val="ro-RO"/>
              </w:rPr>
            </w:pPr>
            <w:r w:rsidRPr="00A44A5B">
              <w:rPr>
                <w:lang w:val="ro-RO"/>
              </w:rPr>
              <w:t>- monitorizarea locurilor de detenţie;</w:t>
            </w:r>
          </w:p>
          <w:p w:rsidR="00A44A5B" w:rsidRPr="00A44A5B" w:rsidRDefault="00A44A5B" w:rsidP="00A44A5B">
            <w:pPr>
              <w:jc w:val="both"/>
              <w:rPr>
                <w:lang w:val="ro-RO"/>
              </w:rPr>
            </w:pPr>
            <w:r w:rsidRPr="00A44A5B">
              <w:rPr>
                <w:lang w:val="ro-RO"/>
              </w:rPr>
              <w:t>- cursuri pentru recalificarea personalului militar;</w:t>
            </w:r>
          </w:p>
          <w:p w:rsidR="00A44A5B" w:rsidRPr="00A44A5B" w:rsidRDefault="00A44A5B" w:rsidP="00A44A5B">
            <w:pPr>
              <w:jc w:val="both"/>
              <w:rPr>
                <w:lang w:val="ro-RO"/>
              </w:rPr>
            </w:pPr>
            <w:r w:rsidRPr="00A44A5B">
              <w:rPr>
                <w:lang w:val="ro-RO"/>
              </w:rPr>
              <w:t>- prevederile CEDO.</w:t>
            </w:r>
          </w:p>
        </w:tc>
        <w:tc>
          <w:tcPr>
            <w:tcW w:w="2700" w:type="dxa"/>
            <w:shd w:val="clear" w:color="auto" w:fill="auto"/>
          </w:tcPr>
          <w:p w:rsidR="00A44A5B" w:rsidRPr="00A44A5B" w:rsidRDefault="00A44A5B" w:rsidP="00A44A5B">
            <w:pPr>
              <w:jc w:val="both"/>
              <w:rPr>
                <w:lang w:val="ro-RO"/>
              </w:rPr>
            </w:pPr>
            <w:r w:rsidRPr="00A44A5B">
              <w:rPr>
                <w:lang w:val="ro-RO"/>
              </w:rPr>
              <w:t xml:space="preserve">- </w:t>
            </w:r>
            <w:r w:rsidRPr="00A44A5B">
              <w:rPr>
                <w:i/>
                <w:lang w:val="ro-RO"/>
              </w:rPr>
              <w:t>Pe parcursul anilor 2010-2011</w:t>
            </w:r>
            <w:r w:rsidRPr="00A44A5B">
              <w:rPr>
                <w:lang w:val="ro-RO"/>
              </w:rPr>
              <w:t>:</w:t>
            </w:r>
          </w:p>
          <w:p w:rsidR="00A44A5B" w:rsidRPr="00A44A5B" w:rsidRDefault="00A44A5B" w:rsidP="00A44A5B">
            <w:pPr>
              <w:jc w:val="both"/>
              <w:rPr>
                <w:lang w:val="ro-RO"/>
              </w:rPr>
            </w:pPr>
            <w:r w:rsidRPr="00A44A5B">
              <w:rPr>
                <w:lang w:val="ro-RO"/>
              </w:rPr>
              <w:t>= instruiţi 300 avocaţi, judecători, procurori, ofiţeri de UP;</w:t>
            </w:r>
          </w:p>
          <w:p w:rsidR="00A44A5B" w:rsidRPr="00A44A5B" w:rsidRDefault="00A44A5B" w:rsidP="00A44A5B">
            <w:pPr>
              <w:jc w:val="both"/>
              <w:rPr>
                <w:lang w:val="ro-RO"/>
              </w:rPr>
            </w:pPr>
            <w:r w:rsidRPr="00A44A5B">
              <w:rPr>
                <w:lang w:val="ro-RO"/>
              </w:rPr>
              <w:t xml:space="preserve">- septembrie 2010 – decembrie 2012: </w:t>
            </w:r>
          </w:p>
          <w:p w:rsidR="00A44A5B" w:rsidRPr="00A44A5B" w:rsidRDefault="00A44A5B" w:rsidP="00A44A5B">
            <w:pPr>
              <w:jc w:val="both"/>
              <w:rPr>
                <w:lang w:val="ro-RO"/>
              </w:rPr>
            </w:pPr>
            <w:r w:rsidRPr="00A44A5B">
              <w:rPr>
                <w:lang w:val="ro-RO"/>
              </w:rPr>
              <w:t xml:space="preserve"> = 445 ofiţeri militari instruiţi;</w:t>
            </w:r>
          </w:p>
          <w:p w:rsidR="00A44A5B" w:rsidRPr="00A44A5B" w:rsidRDefault="00A44A5B" w:rsidP="00A44A5B">
            <w:pPr>
              <w:jc w:val="both"/>
              <w:rPr>
                <w:lang w:val="ro-RO"/>
              </w:rPr>
            </w:pPr>
            <w:r w:rsidRPr="00A44A5B">
              <w:rPr>
                <w:lang w:val="ro-RO"/>
              </w:rPr>
              <w:t>- instruiri inclusiv pentru jurnaliştii de pe teritoriul stâng al Nistrului.</w:t>
            </w:r>
          </w:p>
        </w:tc>
      </w:tr>
      <w:tr w:rsidR="00A44A5B" w:rsidRPr="00A44A5B" w:rsidTr="006D1125">
        <w:trPr>
          <w:trHeight w:val="299"/>
        </w:trPr>
        <w:tc>
          <w:tcPr>
            <w:tcW w:w="2447" w:type="dxa"/>
            <w:shd w:val="clear" w:color="auto" w:fill="auto"/>
          </w:tcPr>
          <w:p w:rsidR="00A44A5B" w:rsidRPr="00A44A5B" w:rsidRDefault="00A44A5B" w:rsidP="00A44A5B">
            <w:pPr>
              <w:jc w:val="center"/>
              <w:rPr>
                <w:sz w:val="28"/>
                <w:szCs w:val="28"/>
                <w:lang w:val="ro-RO"/>
              </w:rPr>
            </w:pPr>
            <w:r w:rsidRPr="00A44A5B">
              <w:rPr>
                <w:i/>
                <w:sz w:val="28"/>
                <w:szCs w:val="28"/>
                <w:lang w:val="ro-RO"/>
              </w:rPr>
              <w:t>Misiunea Norvegiană de Experţi pentru Promovarea Supremaţiei Legii în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aplicarea deciziilor CtEDO la nivel naţional;</w:t>
            </w:r>
          </w:p>
          <w:p w:rsidR="00A44A5B" w:rsidRPr="00A44A5B" w:rsidRDefault="00A44A5B" w:rsidP="00A44A5B">
            <w:pPr>
              <w:jc w:val="both"/>
              <w:rPr>
                <w:lang w:val="ro-RO"/>
              </w:rPr>
            </w:pPr>
            <w:r w:rsidRPr="00A44A5B">
              <w:rPr>
                <w:lang w:val="ro-RO"/>
              </w:rPr>
              <w:t>- arestul preventiv;</w:t>
            </w:r>
          </w:p>
          <w:p w:rsidR="00A44A5B" w:rsidRPr="00A44A5B" w:rsidRDefault="00A44A5B" w:rsidP="00A44A5B">
            <w:pPr>
              <w:jc w:val="both"/>
              <w:rPr>
                <w:lang w:val="ro-RO"/>
              </w:rPr>
            </w:pPr>
            <w:r w:rsidRPr="00A44A5B">
              <w:rPr>
                <w:lang w:val="ro-RO"/>
              </w:rPr>
              <w:t>- etica profesiilor juridice;</w:t>
            </w:r>
          </w:p>
          <w:p w:rsidR="00A44A5B" w:rsidRPr="00A44A5B" w:rsidRDefault="00A44A5B" w:rsidP="00A44A5B">
            <w:pPr>
              <w:jc w:val="both"/>
              <w:rPr>
                <w:lang w:val="ro-RO"/>
              </w:rPr>
            </w:pPr>
            <w:r w:rsidRPr="00A44A5B">
              <w:rPr>
                <w:lang w:val="ro-RO"/>
              </w:rPr>
              <w:t>- re-socializarea deţinuţilor;</w:t>
            </w:r>
          </w:p>
          <w:p w:rsidR="00A44A5B" w:rsidRPr="00A44A5B" w:rsidRDefault="00A44A5B" w:rsidP="00A44A5B">
            <w:pPr>
              <w:jc w:val="both"/>
              <w:rPr>
                <w:lang w:val="ro-RO"/>
              </w:rPr>
            </w:pPr>
            <w:r w:rsidRPr="00A44A5B">
              <w:rPr>
                <w:lang w:val="ro-RO"/>
              </w:rPr>
              <w:t>- minorii şi probaţiunea;</w:t>
            </w:r>
          </w:p>
          <w:p w:rsidR="00A44A5B" w:rsidRPr="00A44A5B" w:rsidRDefault="00A44A5B" w:rsidP="00A44A5B">
            <w:pPr>
              <w:jc w:val="both"/>
              <w:rPr>
                <w:lang w:val="ro-RO"/>
              </w:rPr>
            </w:pPr>
            <w:r w:rsidRPr="00A44A5B">
              <w:rPr>
                <w:lang w:val="ro-RO"/>
              </w:rPr>
              <w:t xml:space="preserve">- femeile şi copii </w:t>
            </w:r>
            <w:r w:rsidRPr="00A44A5B">
              <w:rPr>
                <w:lang w:val="ro-RO"/>
              </w:rPr>
              <w:lastRenderedPageBreak/>
              <w:t>martori/victime pe cauzele de violenţă domestică şi abuz sexual;</w:t>
            </w:r>
          </w:p>
          <w:p w:rsidR="00A44A5B" w:rsidRPr="00A44A5B" w:rsidRDefault="00A44A5B" w:rsidP="00A44A5B">
            <w:pPr>
              <w:jc w:val="both"/>
              <w:rPr>
                <w:lang w:val="ro-RO"/>
              </w:rPr>
            </w:pPr>
            <w:r w:rsidRPr="00A44A5B">
              <w:rPr>
                <w:lang w:val="ro-RO"/>
              </w:rPr>
              <w:t>- măsuri speciale de investigare;</w:t>
            </w:r>
          </w:p>
          <w:p w:rsidR="00A44A5B" w:rsidRPr="00A44A5B" w:rsidRDefault="00A44A5B" w:rsidP="00A44A5B">
            <w:pPr>
              <w:jc w:val="both"/>
              <w:rPr>
                <w:lang w:val="ro-RO"/>
              </w:rPr>
            </w:pPr>
            <w:r w:rsidRPr="00A44A5B">
              <w:rPr>
                <w:lang w:val="ro-RO"/>
              </w:rPr>
              <w:t>- investigarea infracţiunii de trafic fiinţe umane.</w:t>
            </w:r>
          </w:p>
        </w:tc>
        <w:tc>
          <w:tcPr>
            <w:tcW w:w="2700" w:type="dxa"/>
            <w:shd w:val="clear" w:color="auto" w:fill="auto"/>
          </w:tcPr>
          <w:p w:rsidR="00A44A5B" w:rsidRPr="00A44A5B" w:rsidRDefault="00A44A5B" w:rsidP="00A44A5B">
            <w:pPr>
              <w:jc w:val="both"/>
              <w:rPr>
                <w:lang w:val="ro-RO"/>
              </w:rPr>
            </w:pPr>
            <w:r w:rsidRPr="00A44A5B">
              <w:rPr>
                <w:lang w:val="ro-RO"/>
              </w:rPr>
              <w:lastRenderedPageBreak/>
              <w:t xml:space="preserve">- </w:t>
            </w:r>
            <w:r w:rsidRPr="00A44A5B">
              <w:rPr>
                <w:i/>
                <w:lang w:val="ro-RO"/>
              </w:rPr>
              <w:t>Pe parcursul anului 2012:</w:t>
            </w:r>
          </w:p>
          <w:p w:rsidR="00A44A5B" w:rsidRPr="00A44A5B" w:rsidRDefault="00A44A5B" w:rsidP="00A44A5B">
            <w:pPr>
              <w:jc w:val="both"/>
              <w:rPr>
                <w:lang w:val="ro-RO"/>
              </w:rPr>
            </w:pPr>
            <w:r w:rsidRPr="00A44A5B">
              <w:rPr>
                <w:lang w:val="ro-RO"/>
              </w:rPr>
              <w:t>= 26 seminare = 650 participanţi din sectorul justiţiei penale;</w:t>
            </w:r>
          </w:p>
          <w:p w:rsidR="00A44A5B" w:rsidRPr="00A44A5B" w:rsidRDefault="00A44A5B" w:rsidP="00A44A5B">
            <w:pPr>
              <w:jc w:val="both"/>
              <w:rPr>
                <w:lang w:val="ro-RO"/>
              </w:rPr>
            </w:pPr>
            <w:r w:rsidRPr="00A44A5B">
              <w:rPr>
                <w:lang w:val="ro-RO"/>
              </w:rPr>
              <w:t xml:space="preserve">- </w:t>
            </w:r>
            <w:r w:rsidRPr="00A44A5B">
              <w:rPr>
                <w:i/>
                <w:lang w:val="ro-RO"/>
              </w:rPr>
              <w:t>Pe parcursul anului 2011:</w:t>
            </w:r>
          </w:p>
          <w:p w:rsidR="00A44A5B" w:rsidRPr="00A44A5B" w:rsidRDefault="00A44A5B" w:rsidP="00A44A5B">
            <w:pPr>
              <w:jc w:val="both"/>
              <w:rPr>
                <w:lang w:val="ro-RO"/>
              </w:rPr>
            </w:pPr>
            <w:r w:rsidRPr="00A44A5B">
              <w:rPr>
                <w:lang w:val="ro-RO"/>
              </w:rPr>
              <w:lastRenderedPageBreak/>
              <w:t xml:space="preserve">= 200 avocaţi instruiţi, 12 seminare pentru consilierii de probaţiune. </w:t>
            </w:r>
          </w:p>
          <w:p w:rsidR="00A44A5B" w:rsidRPr="00A44A5B" w:rsidRDefault="00A44A5B" w:rsidP="00A44A5B">
            <w:pPr>
              <w:jc w:val="both"/>
              <w:rPr>
                <w:lang w:val="ro-RO"/>
              </w:rPr>
            </w:pPr>
          </w:p>
        </w:tc>
      </w:tr>
      <w:tr w:rsidR="00A44A5B" w:rsidRPr="00A44A5B" w:rsidTr="006D1125">
        <w:trPr>
          <w:trHeight w:val="70"/>
        </w:trPr>
        <w:tc>
          <w:tcPr>
            <w:tcW w:w="2447" w:type="dxa"/>
            <w:shd w:val="clear" w:color="auto" w:fill="auto"/>
          </w:tcPr>
          <w:p w:rsidR="00A44A5B" w:rsidRPr="00A44A5B" w:rsidRDefault="00A44A5B" w:rsidP="00A44A5B">
            <w:pPr>
              <w:jc w:val="center"/>
              <w:rPr>
                <w:sz w:val="28"/>
                <w:szCs w:val="28"/>
                <w:lang w:val="ro-RO"/>
              </w:rPr>
            </w:pPr>
            <w:r w:rsidRPr="00A44A5B">
              <w:rPr>
                <w:i/>
                <w:sz w:val="28"/>
                <w:szCs w:val="28"/>
                <w:lang w:val="ro-RO"/>
              </w:rPr>
              <w:lastRenderedPageBreak/>
              <w:t>Programul Naţiunilor Unite pentru Dezvoltare în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tcBorders>
              <w:bottom w:val="single" w:sz="4" w:space="0" w:color="auto"/>
            </w:tcBorders>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tcBorders>
              <w:bottom w:val="single" w:sz="4" w:space="0" w:color="auto"/>
            </w:tcBorders>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standarde naţionale şi internaţionale în domeniul drepturilor omului a persoanelor cu dizabilităţi mintale şi intelectuale;</w:t>
            </w:r>
          </w:p>
          <w:p w:rsidR="00A44A5B" w:rsidRPr="00A44A5B" w:rsidRDefault="00A44A5B" w:rsidP="00A44A5B">
            <w:pPr>
              <w:jc w:val="both"/>
              <w:rPr>
                <w:lang w:val="ro-RO"/>
              </w:rPr>
            </w:pPr>
            <w:r w:rsidRPr="00A44A5B">
              <w:rPr>
                <w:lang w:val="ro-RO"/>
              </w:rPr>
              <w:t>- consolidarea capacităţilor pentru persoanele care locuiesc cu şi sunt afectate de HIV;</w:t>
            </w:r>
          </w:p>
          <w:p w:rsidR="00A44A5B" w:rsidRPr="00A44A5B" w:rsidRDefault="00A44A5B" w:rsidP="00A44A5B">
            <w:pPr>
              <w:jc w:val="both"/>
              <w:rPr>
                <w:lang w:val="ro-RO"/>
              </w:rPr>
            </w:pPr>
            <w:r w:rsidRPr="00A44A5B">
              <w:rPr>
                <w:lang w:val="ro-RO"/>
              </w:rPr>
              <w:t>- traficul de fiinţe umane;</w:t>
            </w:r>
          </w:p>
          <w:p w:rsidR="00A44A5B" w:rsidRPr="00A44A5B" w:rsidRDefault="00A44A5B" w:rsidP="00A44A5B">
            <w:pPr>
              <w:rPr>
                <w:lang w:val="ro-RO"/>
              </w:rPr>
            </w:pPr>
            <w:r w:rsidRPr="00A44A5B">
              <w:rPr>
                <w:lang w:val="ro-RO"/>
              </w:rPr>
              <w:t>- monitorizarea implementări recomandărilor Revizuirii periodice universale;</w:t>
            </w:r>
          </w:p>
          <w:p w:rsidR="00A44A5B" w:rsidRPr="00A44A5B" w:rsidRDefault="00A44A5B" w:rsidP="00A44A5B">
            <w:pPr>
              <w:jc w:val="both"/>
              <w:rPr>
                <w:lang w:val="ro-RO"/>
              </w:rPr>
            </w:pPr>
            <w:r w:rsidRPr="00A44A5B">
              <w:rPr>
                <w:lang w:val="ro-RO"/>
              </w:rPr>
              <w:t>- consolidate capacităţile de advocacy ale ONG-urilor;</w:t>
            </w:r>
          </w:p>
          <w:p w:rsidR="00A44A5B" w:rsidRPr="00A44A5B" w:rsidRDefault="00A44A5B" w:rsidP="00A44A5B">
            <w:pPr>
              <w:jc w:val="both"/>
              <w:rPr>
                <w:lang w:val="ro-RO"/>
              </w:rPr>
            </w:pPr>
            <w:r w:rsidRPr="00A44A5B">
              <w:rPr>
                <w:lang w:val="ro-RO"/>
              </w:rPr>
              <w:t>- identificarea cazurilor de violenţă domestică şi referirea acestora pentru asistenţă;</w:t>
            </w:r>
          </w:p>
          <w:p w:rsidR="00A44A5B" w:rsidRPr="00A44A5B" w:rsidRDefault="00A44A5B" w:rsidP="00A44A5B">
            <w:pPr>
              <w:jc w:val="both"/>
              <w:rPr>
                <w:lang w:val="ro-RO"/>
              </w:rPr>
            </w:pPr>
            <w:r w:rsidRPr="00A44A5B">
              <w:rPr>
                <w:lang w:val="ro-RO"/>
              </w:rPr>
              <w:t>- examinarea medico-legală a cazurilor de tortură.</w:t>
            </w:r>
          </w:p>
        </w:tc>
        <w:tc>
          <w:tcPr>
            <w:tcW w:w="2700" w:type="dxa"/>
            <w:shd w:val="clear" w:color="auto" w:fill="auto"/>
          </w:tcPr>
          <w:p w:rsidR="00A44A5B" w:rsidRPr="00A44A5B" w:rsidRDefault="00A44A5B" w:rsidP="00A44A5B">
            <w:pPr>
              <w:jc w:val="both"/>
              <w:rPr>
                <w:i/>
                <w:lang w:val="ro-RO"/>
              </w:rPr>
            </w:pPr>
            <w:r w:rsidRPr="00A44A5B">
              <w:rPr>
                <w:lang w:val="ro-RO"/>
              </w:rPr>
              <w:t xml:space="preserve">- </w:t>
            </w:r>
            <w:r w:rsidRPr="00A44A5B">
              <w:rPr>
                <w:i/>
                <w:lang w:val="ro-RO"/>
              </w:rPr>
              <w:t>Pe parcursul anului 2012:</w:t>
            </w:r>
          </w:p>
          <w:p w:rsidR="00A44A5B" w:rsidRPr="00A44A5B" w:rsidRDefault="00A44A5B" w:rsidP="00A44A5B">
            <w:pPr>
              <w:jc w:val="both"/>
              <w:rPr>
                <w:lang w:val="ro-RO"/>
              </w:rPr>
            </w:pPr>
            <w:r w:rsidRPr="00A44A5B">
              <w:rPr>
                <w:lang w:val="ro-RO"/>
              </w:rPr>
              <w:t xml:space="preserve"> =  75 cadre medicale instruite în vederea identificării cazurilor de violenţă domestică;</w:t>
            </w:r>
          </w:p>
          <w:p w:rsidR="00A44A5B" w:rsidRPr="00A44A5B" w:rsidRDefault="00A44A5B" w:rsidP="00A44A5B">
            <w:pPr>
              <w:jc w:val="both"/>
              <w:rPr>
                <w:lang w:val="ro-RO"/>
              </w:rPr>
            </w:pPr>
          </w:p>
          <w:p w:rsidR="00A44A5B" w:rsidRPr="00A44A5B" w:rsidRDefault="00A44A5B" w:rsidP="00A44A5B">
            <w:pPr>
              <w:jc w:val="both"/>
              <w:rPr>
                <w:lang w:val="ro-RO"/>
              </w:rPr>
            </w:pPr>
          </w:p>
        </w:tc>
      </w:tr>
      <w:tr w:rsidR="00A44A5B" w:rsidRPr="00A44A5B" w:rsidTr="006D1125">
        <w:trPr>
          <w:trHeight w:val="299"/>
        </w:trPr>
        <w:tc>
          <w:tcPr>
            <w:tcW w:w="2447" w:type="dxa"/>
            <w:shd w:val="clear" w:color="auto" w:fill="auto"/>
          </w:tcPr>
          <w:p w:rsidR="00A44A5B" w:rsidRPr="00A44A5B" w:rsidRDefault="00A44A5B" w:rsidP="00A44A5B">
            <w:pPr>
              <w:jc w:val="center"/>
              <w:rPr>
                <w:sz w:val="28"/>
                <w:szCs w:val="28"/>
                <w:lang w:val="ro-RO"/>
              </w:rPr>
            </w:pPr>
            <w:r w:rsidRPr="00A44A5B">
              <w:rPr>
                <w:i/>
                <w:sz w:val="28"/>
                <w:szCs w:val="28"/>
                <w:lang w:val="ro-RO"/>
              </w:rPr>
              <w:t>Fundaţia SOROS-Moldova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it-IT"/>
              </w:rPr>
            </w:pPr>
            <w:r w:rsidRPr="00A44A5B">
              <w:rPr>
                <w:lang w:val="ro-RO"/>
              </w:rPr>
              <w:t xml:space="preserve">- </w:t>
            </w:r>
            <w:r w:rsidRPr="00A44A5B">
              <w:rPr>
                <w:lang w:val="it-IT"/>
              </w:rPr>
              <w:t>standarde de performanţă ale avocatului la etapele iniţiale ale urmăririi penale;</w:t>
            </w:r>
          </w:p>
          <w:p w:rsidR="00A44A5B" w:rsidRPr="00A44A5B" w:rsidRDefault="00A44A5B" w:rsidP="00A44A5B">
            <w:pPr>
              <w:jc w:val="both"/>
              <w:rPr>
                <w:lang w:val="ro-RO"/>
              </w:rPr>
            </w:pPr>
            <w:r w:rsidRPr="00A44A5B">
              <w:rPr>
                <w:lang w:val="ro-RO"/>
              </w:rPr>
              <w:t>- anti-discriminarea;</w:t>
            </w:r>
          </w:p>
          <w:p w:rsidR="00A44A5B" w:rsidRPr="00A44A5B" w:rsidRDefault="00A44A5B" w:rsidP="00A44A5B">
            <w:pPr>
              <w:jc w:val="both"/>
              <w:rPr>
                <w:lang w:val="ro-RO"/>
              </w:rPr>
            </w:pPr>
            <w:r w:rsidRPr="00A44A5B">
              <w:rPr>
                <w:lang w:val="ro-RO"/>
              </w:rPr>
              <w:lastRenderedPageBreak/>
              <w:t>- asigurarea respectării drepturilor omului în procesul de aplicare a arestului;</w:t>
            </w:r>
          </w:p>
          <w:p w:rsidR="00A44A5B" w:rsidRPr="00A44A5B" w:rsidRDefault="00A44A5B" w:rsidP="00A44A5B">
            <w:pPr>
              <w:jc w:val="both"/>
              <w:rPr>
                <w:lang w:val="ro-RO"/>
              </w:rPr>
            </w:pPr>
            <w:r w:rsidRPr="00A44A5B">
              <w:rPr>
                <w:lang w:val="ro-RO"/>
              </w:rPr>
              <w:t>- Jurnaliştii si activiştii în contact cu justiţia penală;</w:t>
            </w:r>
          </w:p>
          <w:p w:rsidR="00A44A5B" w:rsidRPr="00A44A5B" w:rsidRDefault="00A44A5B" w:rsidP="00A44A5B">
            <w:pPr>
              <w:jc w:val="both"/>
              <w:rPr>
                <w:lang w:val="ro-RO"/>
              </w:rPr>
            </w:pPr>
            <w:r w:rsidRPr="00A44A5B">
              <w:rPr>
                <w:lang w:val="ro-RO"/>
              </w:rPr>
              <w:t>- monitorizarea respectării drepturilor omului la etapa prejudiciară a procesului penal.</w:t>
            </w:r>
          </w:p>
        </w:tc>
        <w:tc>
          <w:tcPr>
            <w:tcW w:w="2700" w:type="dxa"/>
            <w:shd w:val="clear" w:color="auto" w:fill="auto"/>
          </w:tcPr>
          <w:p w:rsidR="00A44A5B" w:rsidRPr="00A44A5B" w:rsidRDefault="00A44A5B" w:rsidP="00A44A5B">
            <w:pPr>
              <w:jc w:val="both"/>
              <w:rPr>
                <w:lang w:val="ro-RO"/>
              </w:rPr>
            </w:pPr>
            <w:r w:rsidRPr="00A44A5B">
              <w:rPr>
                <w:i/>
                <w:lang w:val="ro-RO"/>
              </w:rPr>
              <w:lastRenderedPageBreak/>
              <w:t>Pe parcursul anului 2013</w:t>
            </w:r>
            <w:r w:rsidRPr="00A44A5B">
              <w:rPr>
                <w:lang w:val="ro-RO"/>
              </w:rPr>
              <w:t>: =  26 de procurori şi 38 de judecători instruiţi;</w:t>
            </w:r>
          </w:p>
          <w:p w:rsidR="00A44A5B" w:rsidRPr="00A44A5B" w:rsidRDefault="00A44A5B" w:rsidP="00A44A5B">
            <w:pPr>
              <w:jc w:val="both"/>
              <w:rPr>
                <w:lang w:val="ro-RO"/>
              </w:rPr>
            </w:pPr>
            <w:r w:rsidRPr="00A44A5B">
              <w:rPr>
                <w:lang w:val="ro-RO"/>
              </w:rPr>
              <w:lastRenderedPageBreak/>
              <w:t>= aprox. 80 avocaţi, avocaţi stagiari;</w:t>
            </w:r>
          </w:p>
          <w:p w:rsidR="00A44A5B" w:rsidRPr="00A44A5B" w:rsidRDefault="00A44A5B" w:rsidP="00A44A5B">
            <w:pPr>
              <w:jc w:val="both"/>
              <w:rPr>
                <w:lang w:val="ro-RO"/>
              </w:rPr>
            </w:pPr>
            <w:r w:rsidRPr="00A44A5B">
              <w:rPr>
                <w:i/>
                <w:lang w:val="ro-RO"/>
              </w:rPr>
              <w:t>Pe parcursul anului 2012</w:t>
            </w:r>
            <w:r w:rsidRPr="00A44A5B">
              <w:rPr>
                <w:lang w:val="ro-RO"/>
              </w:rPr>
              <w:t>: = 98 jurnalişti şi activişti în domeniul drepturilor omului</w:t>
            </w:r>
          </w:p>
        </w:tc>
      </w:tr>
      <w:tr w:rsidR="00A44A5B" w:rsidRPr="00A44A5B" w:rsidTr="006D1125">
        <w:trPr>
          <w:trHeight w:val="299"/>
        </w:trPr>
        <w:tc>
          <w:tcPr>
            <w:tcW w:w="2447" w:type="dxa"/>
            <w:shd w:val="clear" w:color="auto" w:fill="auto"/>
          </w:tcPr>
          <w:p w:rsidR="00A44A5B" w:rsidRPr="00A44A5B" w:rsidRDefault="00A44A5B" w:rsidP="00A44A5B">
            <w:pPr>
              <w:jc w:val="center"/>
              <w:rPr>
                <w:sz w:val="28"/>
                <w:szCs w:val="28"/>
                <w:lang w:val="ro-RO"/>
              </w:rPr>
            </w:pPr>
            <w:r w:rsidRPr="00A44A5B">
              <w:rPr>
                <w:i/>
                <w:sz w:val="28"/>
                <w:szCs w:val="28"/>
                <w:lang w:val="ro-RO"/>
              </w:rPr>
              <w:lastRenderedPageBreak/>
              <w:t>Amnesty International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bCs/>
                <w:iCs/>
                <w:lang w:val="ro-RO"/>
              </w:rPr>
            </w:pPr>
            <w:r w:rsidRPr="00A44A5B">
              <w:rPr>
                <w:bCs/>
                <w:iCs/>
                <w:lang w:val="ro-RO"/>
              </w:rPr>
              <w:t xml:space="preserve">- procedura la Curtea Europeană a Drepturilor Omului (CtEDO); </w:t>
            </w:r>
          </w:p>
          <w:p w:rsidR="00A44A5B" w:rsidRPr="00A44A5B" w:rsidRDefault="00A44A5B" w:rsidP="00A44A5B">
            <w:pPr>
              <w:jc w:val="both"/>
              <w:rPr>
                <w:bCs/>
                <w:iCs/>
                <w:lang w:val="ro-RO"/>
              </w:rPr>
            </w:pPr>
            <w:r w:rsidRPr="00A44A5B">
              <w:rPr>
                <w:bCs/>
                <w:iCs/>
                <w:lang w:val="ro-RO"/>
              </w:rPr>
              <w:t>- admisibilitatea cererilor la CtEDO şi articolul 5 al CEDO;</w:t>
            </w:r>
          </w:p>
          <w:p w:rsidR="00A44A5B" w:rsidRPr="00A44A5B" w:rsidRDefault="00A44A5B" w:rsidP="00A44A5B">
            <w:pPr>
              <w:jc w:val="both"/>
              <w:rPr>
                <w:lang w:val="ro-RO"/>
              </w:rPr>
            </w:pPr>
            <w:r w:rsidRPr="00A44A5B">
              <w:rPr>
                <w:lang w:val="ro-RO"/>
              </w:rPr>
              <w:t>- nediscriminarea;</w:t>
            </w:r>
          </w:p>
          <w:p w:rsidR="00A44A5B" w:rsidRPr="00A44A5B" w:rsidRDefault="00A44A5B" w:rsidP="00A44A5B">
            <w:pPr>
              <w:jc w:val="both"/>
              <w:rPr>
                <w:lang w:val="ro-RO"/>
              </w:rPr>
            </w:pPr>
            <w:r w:rsidRPr="00A44A5B">
              <w:rPr>
                <w:lang w:val="ro-RO"/>
              </w:rPr>
              <w:t>- legislaţia civil-contractuală;</w:t>
            </w:r>
          </w:p>
          <w:p w:rsidR="00A44A5B" w:rsidRPr="00A44A5B" w:rsidRDefault="00A44A5B" w:rsidP="00A44A5B">
            <w:pPr>
              <w:jc w:val="both"/>
              <w:rPr>
                <w:lang w:val="ro-RO"/>
              </w:rPr>
            </w:pPr>
            <w:r w:rsidRPr="00A44A5B">
              <w:rPr>
                <w:lang w:val="ro-RO"/>
              </w:rPr>
              <w:t>- combaterea torturii şi discriminării;</w:t>
            </w:r>
          </w:p>
          <w:p w:rsidR="00A44A5B" w:rsidRPr="00A44A5B" w:rsidRDefault="00A44A5B" w:rsidP="00A44A5B">
            <w:pPr>
              <w:jc w:val="both"/>
              <w:rPr>
                <w:lang w:val="ro-RO"/>
              </w:rPr>
            </w:pPr>
            <w:r w:rsidRPr="00A44A5B">
              <w:rPr>
                <w:lang w:val="ro-RO"/>
              </w:rPr>
              <w:t>- modificările şi completările penale şi procedural-penale,</w:t>
            </w:r>
          </w:p>
        </w:tc>
        <w:tc>
          <w:tcPr>
            <w:tcW w:w="2700" w:type="dxa"/>
            <w:shd w:val="clear" w:color="auto" w:fill="auto"/>
          </w:tcPr>
          <w:p w:rsidR="00A44A5B" w:rsidRPr="00A44A5B" w:rsidRDefault="00A44A5B" w:rsidP="00A44A5B">
            <w:pPr>
              <w:jc w:val="both"/>
              <w:rPr>
                <w:i/>
                <w:lang w:val="ro-RO"/>
              </w:rPr>
            </w:pPr>
            <w:r w:rsidRPr="00A44A5B">
              <w:rPr>
                <w:i/>
                <w:lang w:val="ro-RO"/>
              </w:rPr>
              <w:t>Pe parcursul anului 2011-2012:</w:t>
            </w:r>
          </w:p>
          <w:p w:rsidR="00A44A5B" w:rsidRPr="00A44A5B" w:rsidRDefault="00A44A5B" w:rsidP="00A44A5B">
            <w:pPr>
              <w:jc w:val="both"/>
              <w:rPr>
                <w:lang w:val="ro-RO"/>
              </w:rPr>
            </w:pPr>
            <w:r w:rsidRPr="00A44A5B">
              <w:rPr>
                <w:lang w:val="ro-RO"/>
              </w:rPr>
              <w:t xml:space="preserve"> </w:t>
            </w:r>
            <w:r w:rsidRPr="00A44A5B">
              <w:rPr>
                <w:lang w:val="en-US"/>
              </w:rPr>
              <w:t>=</w:t>
            </w:r>
            <w:r w:rsidRPr="00A44A5B">
              <w:rPr>
                <w:lang w:val="ro-RO"/>
              </w:rPr>
              <w:t xml:space="preserve"> total 30 ore de instruire pentru avocaţi/avocaţi stagiari. (15 seminare a câte 2h/1seminar).</w:t>
            </w: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t>Institutul de Reforme Penale</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acordarea asistenţei juridice garantate de stat în cauzele cu implicarea copiilor;</w:t>
            </w:r>
          </w:p>
          <w:p w:rsidR="00A44A5B" w:rsidRPr="00A44A5B" w:rsidRDefault="00A44A5B" w:rsidP="00A44A5B">
            <w:pPr>
              <w:jc w:val="both"/>
              <w:rPr>
                <w:lang w:val="ro-RO"/>
              </w:rPr>
            </w:pPr>
            <w:r w:rsidRPr="00A44A5B">
              <w:rPr>
                <w:lang w:val="ro-RO"/>
              </w:rPr>
              <w:t>- dejudiciarizarea cauzelor penale;</w:t>
            </w:r>
          </w:p>
          <w:p w:rsidR="00A44A5B" w:rsidRPr="00A44A5B" w:rsidRDefault="00A44A5B" w:rsidP="00A44A5B">
            <w:pPr>
              <w:jc w:val="both"/>
              <w:rPr>
                <w:lang w:val="ro-RO"/>
              </w:rPr>
            </w:pPr>
            <w:r w:rsidRPr="00A44A5B">
              <w:rPr>
                <w:lang w:val="ro-RO"/>
              </w:rPr>
              <w:t>- copilul în conflict cu legea penală;</w:t>
            </w:r>
          </w:p>
          <w:p w:rsidR="00A44A5B" w:rsidRPr="00A44A5B" w:rsidRDefault="00A44A5B" w:rsidP="00A44A5B">
            <w:pPr>
              <w:jc w:val="both"/>
              <w:rPr>
                <w:lang w:val="ro-RO"/>
              </w:rPr>
            </w:pPr>
            <w:r w:rsidRPr="00A44A5B">
              <w:rPr>
                <w:lang w:val="ro-RO"/>
              </w:rPr>
              <w:t>- imaginea copilului în conflict cu legea penală reflectată în mass-media;</w:t>
            </w:r>
          </w:p>
          <w:p w:rsidR="00A44A5B" w:rsidRPr="00A44A5B" w:rsidRDefault="00A44A5B" w:rsidP="00A44A5B">
            <w:pPr>
              <w:jc w:val="both"/>
              <w:rPr>
                <w:iCs/>
                <w:lang w:val="ro-RO"/>
              </w:rPr>
            </w:pPr>
            <w:r w:rsidRPr="00A44A5B">
              <w:rPr>
                <w:lang w:val="ro-RO"/>
              </w:rPr>
              <w:lastRenderedPageBreak/>
              <w:t>- i</w:t>
            </w:r>
            <w:r w:rsidRPr="00A44A5B">
              <w:rPr>
                <w:iCs/>
                <w:lang w:val="ro-RO"/>
              </w:rPr>
              <w:t>dentificare si protecţia copiilor social-vulnerabili;</w:t>
            </w:r>
          </w:p>
          <w:p w:rsidR="00A44A5B" w:rsidRPr="00A44A5B" w:rsidRDefault="00A44A5B" w:rsidP="00A44A5B">
            <w:pPr>
              <w:jc w:val="both"/>
              <w:rPr>
                <w:lang w:val="ro-RO"/>
              </w:rPr>
            </w:pPr>
            <w:r w:rsidRPr="00A44A5B">
              <w:rPr>
                <w:i/>
                <w:iCs/>
                <w:lang w:val="ro-RO"/>
              </w:rPr>
              <w:t xml:space="preserve">- </w:t>
            </w:r>
            <w:r w:rsidRPr="00A44A5B">
              <w:rPr>
                <w:lang w:val="ro-RO"/>
              </w:rPr>
              <w:t>metodologia de focalizare a resurselor comunitare la necesităţile beneficiarilor probaţiunii;</w:t>
            </w:r>
          </w:p>
          <w:p w:rsidR="00A44A5B" w:rsidRPr="00A44A5B" w:rsidRDefault="00A44A5B" w:rsidP="00A44A5B">
            <w:pPr>
              <w:jc w:val="both"/>
              <w:rPr>
                <w:lang w:val="ro-RO"/>
              </w:rPr>
            </w:pPr>
            <w:r w:rsidRPr="00A44A5B">
              <w:rPr>
                <w:lang w:val="ro-RO"/>
              </w:rPr>
              <w:t>- protecţia juridică a drepturilor megranţilor iregulari aflaţi pe teritoriul R.Moldova;</w:t>
            </w:r>
          </w:p>
          <w:p w:rsidR="00A44A5B" w:rsidRPr="00A44A5B" w:rsidRDefault="00A44A5B" w:rsidP="00A44A5B">
            <w:pPr>
              <w:jc w:val="both"/>
              <w:rPr>
                <w:lang w:val="ro-RO"/>
              </w:rPr>
            </w:pPr>
            <w:r w:rsidRPr="00A44A5B">
              <w:rPr>
                <w:lang w:val="ro-RO"/>
              </w:rPr>
              <w:t>- procedurile prietenoase copiilor aflaţi în sistemul de justiţie penală aplicate în activitatea poliţiei;</w:t>
            </w:r>
          </w:p>
          <w:p w:rsidR="00A44A5B" w:rsidRPr="00A44A5B" w:rsidRDefault="00A44A5B" w:rsidP="00A44A5B">
            <w:pPr>
              <w:jc w:val="both"/>
              <w:rPr>
                <w:lang w:val="ro-RO"/>
              </w:rPr>
            </w:pPr>
            <w:r w:rsidRPr="00A44A5B">
              <w:rPr>
                <w:lang w:val="ro-RO"/>
              </w:rPr>
              <w:t>- perfecţiona abilităţilor de lucru cu copii în situaţie de risc, a specialiştilor din regiunea de sud din Republica Moldova.</w:t>
            </w:r>
          </w:p>
        </w:tc>
        <w:tc>
          <w:tcPr>
            <w:tcW w:w="2700" w:type="dxa"/>
            <w:shd w:val="clear" w:color="auto" w:fill="auto"/>
          </w:tcPr>
          <w:p w:rsidR="00A44A5B" w:rsidRPr="00A44A5B" w:rsidRDefault="00A44A5B" w:rsidP="00A44A5B">
            <w:pPr>
              <w:jc w:val="both"/>
              <w:rPr>
                <w:lang w:val="ro-RO"/>
              </w:rPr>
            </w:pPr>
            <w:r w:rsidRPr="00A44A5B">
              <w:rPr>
                <w:i/>
                <w:lang w:val="ro-RO"/>
              </w:rPr>
              <w:lastRenderedPageBreak/>
              <w:t>Pe parcursul anului 2013</w:t>
            </w:r>
            <w:r w:rsidRPr="00A44A5B">
              <w:rPr>
                <w:lang w:val="ro-RO"/>
              </w:rPr>
              <w:t xml:space="preserve">: </w:t>
            </w:r>
            <w:r w:rsidRPr="00A44A5B">
              <w:rPr>
                <w:lang w:val="pt-BR"/>
              </w:rPr>
              <w:t>=</w:t>
            </w:r>
            <w:r w:rsidRPr="00A44A5B">
              <w:rPr>
                <w:lang w:val="ro-RO"/>
              </w:rPr>
              <w:t xml:space="preserve"> 40 avocaţi/ 12 h;</w:t>
            </w:r>
          </w:p>
          <w:p w:rsidR="00A44A5B" w:rsidRPr="00A44A5B" w:rsidRDefault="00A44A5B" w:rsidP="00A44A5B">
            <w:pPr>
              <w:jc w:val="both"/>
              <w:rPr>
                <w:lang w:val="ro-RO"/>
              </w:rPr>
            </w:pPr>
            <w:r w:rsidRPr="00A44A5B">
              <w:rPr>
                <w:lang w:val="it-IT"/>
              </w:rPr>
              <w:t>=</w:t>
            </w:r>
            <w:r w:rsidRPr="00A44A5B">
              <w:rPr>
                <w:lang w:val="ro-RO"/>
              </w:rPr>
              <w:t xml:space="preserve"> 40 consilieri de probaţiune/ 12 h; 25 consilieri de probaţiune/ 8 h;</w:t>
            </w:r>
          </w:p>
          <w:p w:rsidR="00A44A5B" w:rsidRPr="00A44A5B" w:rsidRDefault="00A44A5B" w:rsidP="00A44A5B">
            <w:pPr>
              <w:jc w:val="both"/>
              <w:rPr>
                <w:lang w:val="ro-RO"/>
              </w:rPr>
            </w:pPr>
            <w:r w:rsidRPr="00A44A5B">
              <w:rPr>
                <w:lang w:val="pt-BR"/>
              </w:rPr>
              <w:t>=</w:t>
            </w:r>
            <w:r w:rsidRPr="00A44A5B">
              <w:rPr>
                <w:lang w:val="ro-RO"/>
              </w:rPr>
              <w:t xml:space="preserve"> 45 psihologi/ 8 h;</w:t>
            </w:r>
          </w:p>
          <w:p w:rsidR="00A44A5B" w:rsidRPr="00A44A5B" w:rsidRDefault="00A44A5B" w:rsidP="00A44A5B">
            <w:pPr>
              <w:jc w:val="both"/>
              <w:rPr>
                <w:lang w:val="pt-BR"/>
              </w:rPr>
            </w:pPr>
            <w:r w:rsidRPr="00A44A5B">
              <w:rPr>
                <w:lang w:val="pt-BR"/>
              </w:rPr>
              <w:t>= 15 jurnalişti/ 8 h;</w:t>
            </w:r>
          </w:p>
          <w:p w:rsidR="00A44A5B" w:rsidRPr="00A44A5B" w:rsidRDefault="00A44A5B" w:rsidP="00A44A5B">
            <w:pPr>
              <w:jc w:val="both"/>
              <w:rPr>
                <w:lang w:val="ro-RO"/>
              </w:rPr>
            </w:pPr>
            <w:r w:rsidRPr="00A44A5B">
              <w:rPr>
                <w:lang w:val="pt-BR"/>
              </w:rPr>
              <w:t xml:space="preserve">= </w:t>
            </w:r>
            <w:r w:rsidRPr="00A44A5B">
              <w:rPr>
                <w:lang w:val="ro-RO"/>
              </w:rPr>
              <w:t>judecători, procurori/ 8 h;</w:t>
            </w:r>
          </w:p>
          <w:p w:rsidR="00A44A5B" w:rsidRPr="00A44A5B" w:rsidRDefault="00A44A5B" w:rsidP="00A44A5B">
            <w:pPr>
              <w:jc w:val="both"/>
              <w:rPr>
                <w:lang w:val="ro-RO"/>
              </w:rPr>
            </w:pPr>
            <w:r w:rsidRPr="00A44A5B">
              <w:rPr>
                <w:i/>
                <w:lang w:val="ro-RO"/>
              </w:rPr>
              <w:lastRenderedPageBreak/>
              <w:t>Pe parcursul anului 2012</w:t>
            </w:r>
            <w:r w:rsidRPr="00A44A5B">
              <w:rPr>
                <w:lang w:val="ro-RO"/>
              </w:rPr>
              <w:t>:</w:t>
            </w:r>
          </w:p>
          <w:p w:rsidR="00A44A5B" w:rsidRPr="00A44A5B" w:rsidRDefault="00A44A5B" w:rsidP="00A44A5B">
            <w:pPr>
              <w:jc w:val="both"/>
              <w:rPr>
                <w:lang w:val="ro-RO"/>
              </w:rPr>
            </w:pPr>
            <w:r w:rsidRPr="00A44A5B">
              <w:rPr>
                <w:lang w:val="en-US"/>
              </w:rPr>
              <w:t>=</w:t>
            </w:r>
            <w:r w:rsidRPr="00A44A5B">
              <w:rPr>
                <w:lang w:val="ro-RO"/>
              </w:rPr>
              <w:t xml:space="preserve"> 25 consilieri de probaţiune/ 12 h; 45 consilieri de probaţiune/ 8 h;</w:t>
            </w:r>
          </w:p>
          <w:p w:rsidR="00A44A5B" w:rsidRPr="00A44A5B" w:rsidRDefault="00A44A5B" w:rsidP="00A44A5B">
            <w:pPr>
              <w:jc w:val="both"/>
              <w:rPr>
                <w:lang w:val="ro-RO"/>
              </w:rPr>
            </w:pPr>
            <w:r w:rsidRPr="00A44A5B">
              <w:rPr>
                <w:lang w:val="en-US"/>
              </w:rPr>
              <w:t>=</w:t>
            </w:r>
            <w:r w:rsidRPr="00A44A5B">
              <w:rPr>
                <w:lang w:val="ro-RO"/>
              </w:rPr>
              <w:t xml:space="preserve"> 50 ofiţeri de poliţie/ 8 h;</w:t>
            </w:r>
          </w:p>
          <w:p w:rsidR="00A44A5B" w:rsidRPr="00A44A5B" w:rsidRDefault="00A44A5B" w:rsidP="00A44A5B">
            <w:pPr>
              <w:jc w:val="both"/>
              <w:rPr>
                <w:lang w:val="ro-RO"/>
              </w:rPr>
            </w:pPr>
            <w:r w:rsidRPr="00A44A5B">
              <w:rPr>
                <w:i/>
                <w:lang w:val="ro-RO"/>
              </w:rPr>
              <w:t>Pe parcursul anului 2011</w:t>
            </w:r>
            <w:r w:rsidRPr="00A44A5B">
              <w:rPr>
                <w:lang w:val="ro-RO"/>
              </w:rPr>
              <w:t>:</w:t>
            </w:r>
          </w:p>
          <w:p w:rsidR="00A44A5B" w:rsidRPr="00A44A5B" w:rsidRDefault="00A44A5B" w:rsidP="00A44A5B">
            <w:pPr>
              <w:jc w:val="both"/>
              <w:rPr>
                <w:lang w:val="pt-BR"/>
              </w:rPr>
            </w:pPr>
            <w:r w:rsidRPr="00A44A5B">
              <w:rPr>
                <w:lang w:val="pt-BR"/>
              </w:rPr>
              <w:t>=</w:t>
            </w:r>
            <w:r w:rsidRPr="00A44A5B">
              <w:rPr>
                <w:lang w:val="ro-RO"/>
              </w:rPr>
              <w:t xml:space="preserve"> 45 ofiţeri de poliţie/ 8 h;</w:t>
            </w:r>
          </w:p>
          <w:p w:rsidR="00A44A5B" w:rsidRPr="00A44A5B" w:rsidRDefault="00A44A5B" w:rsidP="00A44A5B">
            <w:pPr>
              <w:jc w:val="both"/>
              <w:rPr>
                <w:lang w:val="it-IT"/>
              </w:rPr>
            </w:pPr>
            <w:r w:rsidRPr="00A44A5B">
              <w:rPr>
                <w:lang w:val="it-IT"/>
              </w:rPr>
              <w:t>=</w:t>
            </w:r>
            <w:r w:rsidRPr="00A44A5B">
              <w:rPr>
                <w:lang w:val="ro-RO"/>
              </w:rPr>
              <w:t>15 psihologi/ 12 h;</w:t>
            </w:r>
          </w:p>
          <w:p w:rsidR="00A44A5B" w:rsidRPr="00A44A5B" w:rsidRDefault="00A44A5B" w:rsidP="00A44A5B">
            <w:pPr>
              <w:jc w:val="both"/>
              <w:rPr>
                <w:lang w:val="it-IT"/>
              </w:rPr>
            </w:pPr>
            <w:r w:rsidRPr="00A44A5B">
              <w:rPr>
                <w:lang w:val="it-IT"/>
              </w:rPr>
              <w:t>=</w:t>
            </w:r>
            <w:r w:rsidRPr="00A44A5B">
              <w:rPr>
                <w:lang w:val="ro-RO"/>
              </w:rPr>
              <w:t>15 procurori/ 8 h.</w:t>
            </w: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lastRenderedPageBreak/>
              <w:t>Human Rights Embassy</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xml:space="preserve">- drepturile omului, </w:t>
            </w:r>
          </w:p>
          <w:p w:rsidR="00A44A5B" w:rsidRPr="00A44A5B" w:rsidRDefault="00A44A5B" w:rsidP="00A44A5B">
            <w:pPr>
              <w:jc w:val="both"/>
              <w:rPr>
                <w:lang w:val="ro-RO"/>
              </w:rPr>
            </w:pPr>
            <w:r w:rsidRPr="00A44A5B">
              <w:rPr>
                <w:lang w:val="ro-RO"/>
              </w:rPr>
              <w:t>- consolidarea luptei împotriva relelor tratamente şi a impunităţii în Moldova;</w:t>
            </w:r>
          </w:p>
          <w:p w:rsidR="00A44A5B" w:rsidRPr="00A44A5B" w:rsidRDefault="00A44A5B" w:rsidP="00A44A5B">
            <w:pPr>
              <w:jc w:val="both"/>
              <w:rPr>
                <w:lang w:val="ro-RO"/>
              </w:rPr>
            </w:pPr>
            <w:r w:rsidRPr="00A44A5B">
              <w:rPr>
                <w:lang w:val="ro-RO"/>
              </w:rPr>
              <w:t>- discriminarea;</w:t>
            </w:r>
          </w:p>
          <w:p w:rsidR="00A44A5B" w:rsidRPr="00A44A5B" w:rsidRDefault="00A44A5B" w:rsidP="00A44A5B">
            <w:pPr>
              <w:jc w:val="both"/>
              <w:rPr>
                <w:lang w:val="ro-RO"/>
              </w:rPr>
            </w:pPr>
            <w:r w:rsidRPr="00A44A5B">
              <w:rPr>
                <w:lang w:val="ro-RO"/>
              </w:rPr>
              <w:t>- consolidarea capacităţilor de participare eficientă pe cazuri de litigare strategică;</w:t>
            </w:r>
          </w:p>
          <w:p w:rsidR="00A44A5B" w:rsidRPr="00A44A5B" w:rsidRDefault="00A44A5B" w:rsidP="00A44A5B">
            <w:pPr>
              <w:jc w:val="both"/>
              <w:rPr>
                <w:lang w:val="ro-RO"/>
              </w:rPr>
            </w:pPr>
            <w:r w:rsidRPr="00A44A5B">
              <w:rPr>
                <w:lang w:val="ro-RO"/>
              </w:rPr>
              <w:t>- diverse tematici abordate în cadrul Clubului drepturilor omului.</w:t>
            </w:r>
          </w:p>
        </w:tc>
        <w:tc>
          <w:tcPr>
            <w:tcW w:w="2700" w:type="dxa"/>
            <w:shd w:val="clear" w:color="auto" w:fill="auto"/>
          </w:tcPr>
          <w:p w:rsidR="00A44A5B" w:rsidRPr="00A44A5B" w:rsidRDefault="00A44A5B" w:rsidP="00A44A5B">
            <w:pPr>
              <w:jc w:val="both"/>
              <w:rPr>
                <w:lang w:val="ro-RO"/>
              </w:rPr>
            </w:pPr>
            <w:r w:rsidRPr="00A44A5B">
              <w:rPr>
                <w:i/>
                <w:lang w:val="ro-RO"/>
              </w:rPr>
              <w:t>Pe parcursul anului 2012</w:t>
            </w:r>
            <w:r w:rsidRPr="00A44A5B">
              <w:rPr>
                <w:lang w:val="ro-RO"/>
              </w:rPr>
              <w:t>:</w:t>
            </w:r>
          </w:p>
          <w:p w:rsidR="00A44A5B" w:rsidRPr="00A44A5B" w:rsidRDefault="00A44A5B" w:rsidP="00A44A5B">
            <w:pPr>
              <w:jc w:val="both"/>
              <w:rPr>
                <w:lang w:val="pt-BR"/>
              </w:rPr>
            </w:pPr>
            <w:r w:rsidRPr="00A44A5B">
              <w:rPr>
                <w:lang w:val="pt-BR"/>
              </w:rPr>
              <w:t>= total 21 h de instruire în cadrul Clubului drepturilor omului/ apox. 250 avocaţi, avocaţi stagiari, jurişti;</w:t>
            </w:r>
          </w:p>
          <w:p w:rsidR="00A44A5B" w:rsidRPr="00A44A5B" w:rsidRDefault="00A44A5B" w:rsidP="00A44A5B">
            <w:pPr>
              <w:jc w:val="both"/>
              <w:rPr>
                <w:lang w:val="ro-RO"/>
              </w:rPr>
            </w:pPr>
            <w:r w:rsidRPr="00A44A5B">
              <w:rPr>
                <w:lang w:val="en-US"/>
              </w:rPr>
              <w:t>=</w:t>
            </w:r>
            <w:r w:rsidRPr="00A44A5B">
              <w:rPr>
                <w:lang w:val="ro-RO"/>
              </w:rPr>
              <w:t xml:space="preserve"> 25 avocaţi instruire la distanţă;</w:t>
            </w:r>
          </w:p>
          <w:p w:rsidR="00A44A5B" w:rsidRPr="00A44A5B" w:rsidRDefault="00A44A5B" w:rsidP="00A44A5B">
            <w:pPr>
              <w:jc w:val="both"/>
              <w:rPr>
                <w:lang w:val="ro-RO"/>
              </w:rPr>
            </w:pPr>
            <w:r w:rsidRPr="00A44A5B">
              <w:rPr>
                <w:i/>
                <w:lang w:val="ro-RO"/>
              </w:rPr>
              <w:t>Pe parcursul anului 2013</w:t>
            </w:r>
            <w:r w:rsidRPr="00A44A5B">
              <w:rPr>
                <w:lang w:val="ro-RO"/>
              </w:rPr>
              <w:t>:</w:t>
            </w:r>
          </w:p>
          <w:p w:rsidR="00A44A5B" w:rsidRPr="00A44A5B" w:rsidRDefault="00A44A5B" w:rsidP="00A44A5B">
            <w:pPr>
              <w:jc w:val="both"/>
              <w:rPr>
                <w:lang w:val="ro-RO"/>
              </w:rPr>
            </w:pPr>
            <w:r w:rsidRPr="00A44A5B">
              <w:rPr>
                <w:lang w:val="en-US"/>
              </w:rPr>
              <w:t>=</w:t>
            </w:r>
            <w:r w:rsidRPr="00A44A5B">
              <w:rPr>
                <w:lang w:val="ro-RO"/>
              </w:rPr>
              <w:t xml:space="preserve"> 28 agenţi de poliţie instruiţi;</w:t>
            </w:r>
          </w:p>
          <w:p w:rsidR="00A44A5B" w:rsidRPr="00A44A5B" w:rsidRDefault="00A44A5B" w:rsidP="00A44A5B">
            <w:pPr>
              <w:jc w:val="both"/>
              <w:rPr>
                <w:lang w:val="pt-BR"/>
              </w:rPr>
            </w:pPr>
            <w:r w:rsidRPr="00A44A5B">
              <w:rPr>
                <w:lang w:val="en-US"/>
              </w:rPr>
              <w:lastRenderedPageBreak/>
              <w:t>=</w:t>
            </w:r>
            <w:r w:rsidRPr="00A44A5B">
              <w:rPr>
                <w:lang w:val="ro-RO"/>
              </w:rPr>
              <w:t xml:space="preserve"> 15 h de instruire </w:t>
            </w:r>
            <w:r w:rsidRPr="00A44A5B">
              <w:rPr>
                <w:lang w:val="pt-BR"/>
              </w:rPr>
              <w:t>în cadrul Clubului drepturilor omului;</w:t>
            </w:r>
          </w:p>
          <w:p w:rsidR="00A44A5B" w:rsidRPr="00A44A5B" w:rsidRDefault="00A44A5B" w:rsidP="00A44A5B">
            <w:pPr>
              <w:jc w:val="both"/>
              <w:rPr>
                <w:lang w:val="ro-RO"/>
              </w:rPr>
            </w:pP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lastRenderedPageBreak/>
              <w:t>“Centrul de Drept al Avocaţilor”</w:t>
            </w:r>
          </w:p>
        </w:tc>
        <w:tc>
          <w:tcPr>
            <w:tcW w:w="36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iCs/>
                <w:lang w:val="ro-RO"/>
              </w:rPr>
            </w:pPr>
            <w:r w:rsidRPr="00A44A5B">
              <w:rPr>
                <w:lang w:val="ro-RO"/>
              </w:rPr>
              <w:t xml:space="preserve">- </w:t>
            </w:r>
            <w:r w:rsidRPr="00A44A5B">
              <w:rPr>
                <w:iCs/>
                <w:lang w:val="ro-RO"/>
              </w:rPr>
              <w:t>cunoştinţe consolidate ale avocaţilor privind cazurile de discriminare;</w:t>
            </w:r>
          </w:p>
          <w:p w:rsidR="00A44A5B" w:rsidRPr="00A44A5B" w:rsidRDefault="00A44A5B" w:rsidP="00A44A5B">
            <w:pPr>
              <w:jc w:val="both"/>
              <w:rPr>
                <w:lang w:val="ro-RO"/>
              </w:rPr>
            </w:pPr>
            <w:r w:rsidRPr="00A44A5B">
              <w:rPr>
                <w:lang w:val="ro-RO"/>
              </w:rPr>
              <w:t>- dreptul de azil;</w:t>
            </w:r>
          </w:p>
          <w:p w:rsidR="00A44A5B" w:rsidRPr="00A44A5B" w:rsidRDefault="00A44A5B" w:rsidP="00A44A5B">
            <w:pPr>
              <w:jc w:val="both"/>
              <w:rPr>
                <w:lang w:val="ro-RO"/>
              </w:rPr>
            </w:pPr>
            <w:r w:rsidRPr="00A44A5B">
              <w:rPr>
                <w:lang w:val="ro-RO"/>
              </w:rPr>
              <w:t>- scriere de proiecte (pentru studenţii facultăţii de drept);</w:t>
            </w:r>
          </w:p>
          <w:p w:rsidR="00A44A5B" w:rsidRPr="00A44A5B" w:rsidRDefault="00A44A5B" w:rsidP="00A44A5B">
            <w:pPr>
              <w:jc w:val="both"/>
              <w:rPr>
                <w:lang w:val="ro-RO"/>
              </w:rPr>
            </w:pPr>
            <w:r w:rsidRPr="00A44A5B">
              <w:rPr>
                <w:lang w:val="ro-RO"/>
              </w:rPr>
              <w:t>- asigurarea dreptului la apărare a bănuitului, învinuitului, inculpatului şi condamnatului în procedura penală.</w:t>
            </w:r>
          </w:p>
        </w:tc>
        <w:tc>
          <w:tcPr>
            <w:tcW w:w="2700" w:type="dxa"/>
            <w:shd w:val="clear" w:color="auto" w:fill="auto"/>
          </w:tcPr>
          <w:p w:rsidR="00A44A5B" w:rsidRPr="00A44A5B" w:rsidRDefault="00A44A5B" w:rsidP="00A44A5B">
            <w:pPr>
              <w:jc w:val="both"/>
              <w:rPr>
                <w:lang w:val="ro-RO"/>
              </w:rPr>
            </w:pPr>
            <w:r w:rsidRPr="00A44A5B">
              <w:rPr>
                <w:i/>
                <w:lang w:val="ro-RO"/>
              </w:rPr>
              <w:t>Pe parcursul anului 2012-2013</w:t>
            </w:r>
            <w:r w:rsidRPr="00A44A5B">
              <w:rPr>
                <w:lang w:val="ro-RO"/>
              </w:rPr>
              <w:t>:</w:t>
            </w:r>
          </w:p>
          <w:p w:rsidR="00A44A5B" w:rsidRPr="00A44A5B" w:rsidRDefault="00A44A5B" w:rsidP="00A44A5B">
            <w:pPr>
              <w:jc w:val="both"/>
              <w:rPr>
                <w:lang w:val="ro-RO"/>
              </w:rPr>
            </w:pPr>
            <w:r w:rsidRPr="00A44A5B">
              <w:rPr>
                <w:lang w:val="it-IT"/>
              </w:rPr>
              <w:t>=</w:t>
            </w:r>
            <w:r w:rsidRPr="00A44A5B">
              <w:rPr>
                <w:lang w:val="ro-RO"/>
              </w:rPr>
              <w:t xml:space="preserve"> 270 avocaţi/avocaţi stagiari instruiţi;</w:t>
            </w:r>
          </w:p>
          <w:p w:rsidR="00A44A5B" w:rsidRPr="00A44A5B" w:rsidRDefault="00A44A5B" w:rsidP="00A44A5B">
            <w:pPr>
              <w:jc w:val="both"/>
              <w:rPr>
                <w:lang w:val="ro-RO"/>
              </w:rPr>
            </w:pPr>
            <w:r w:rsidRPr="00A44A5B">
              <w:t>=</w:t>
            </w:r>
            <w:r w:rsidRPr="00A44A5B">
              <w:rPr>
                <w:lang w:val="ro-RO"/>
              </w:rPr>
              <w:t xml:space="preserve"> 30 judecători;</w:t>
            </w:r>
          </w:p>
          <w:p w:rsidR="00A44A5B" w:rsidRPr="00A44A5B" w:rsidRDefault="00A44A5B" w:rsidP="00A44A5B">
            <w:pPr>
              <w:jc w:val="both"/>
              <w:rPr>
                <w:lang w:val="ro-RO"/>
              </w:rPr>
            </w:pPr>
          </w:p>
          <w:p w:rsidR="00A44A5B" w:rsidRPr="00A44A5B" w:rsidRDefault="00A44A5B" w:rsidP="00A44A5B">
            <w:pPr>
              <w:jc w:val="both"/>
              <w:rPr>
                <w:lang w:val="ro-RO"/>
              </w:rPr>
            </w:pPr>
          </w:p>
        </w:tc>
      </w:tr>
      <w:tr w:rsidR="00A44A5B" w:rsidRPr="00A44A5B" w:rsidTr="006D1125">
        <w:trPr>
          <w:trHeight w:val="316"/>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t>BAA „Avocaţii Publici”</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MD"/>
              </w:rPr>
            </w:pPr>
            <w:r w:rsidRPr="00A44A5B">
              <w:rPr>
                <w:lang w:val="ro-MD"/>
              </w:rPr>
              <w:t>- rolul avocatului al etapa urmării penale;</w:t>
            </w:r>
          </w:p>
          <w:p w:rsidR="00A44A5B" w:rsidRPr="00A44A5B" w:rsidRDefault="00A44A5B" w:rsidP="00A44A5B">
            <w:pPr>
              <w:jc w:val="both"/>
              <w:rPr>
                <w:lang w:val="ro-MD"/>
              </w:rPr>
            </w:pPr>
            <w:r w:rsidRPr="00A44A5B">
              <w:rPr>
                <w:lang w:val="ro-MD"/>
              </w:rPr>
              <w:t>- standardele profesionale ale avocatului la etapa urmării penale;</w:t>
            </w:r>
          </w:p>
        </w:tc>
        <w:tc>
          <w:tcPr>
            <w:tcW w:w="2700" w:type="dxa"/>
            <w:shd w:val="clear" w:color="auto" w:fill="auto"/>
          </w:tcPr>
          <w:p w:rsidR="00A44A5B" w:rsidRPr="00A44A5B" w:rsidRDefault="00A44A5B" w:rsidP="00A44A5B">
            <w:pPr>
              <w:jc w:val="both"/>
              <w:rPr>
                <w:lang w:val="ro-RO"/>
              </w:rPr>
            </w:pP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t>Asociaţia Barourilor Americane Iniţiativa pentru Supremaţia Legii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justiţia penală şi etica profesională a avocatului;</w:t>
            </w:r>
          </w:p>
          <w:p w:rsidR="00A44A5B" w:rsidRPr="00A44A5B" w:rsidRDefault="00A44A5B" w:rsidP="00A44A5B">
            <w:pPr>
              <w:jc w:val="both"/>
              <w:rPr>
                <w:lang w:val="ro-RO"/>
              </w:rPr>
            </w:pPr>
            <w:r w:rsidRPr="00A44A5B">
              <w:rPr>
                <w:lang w:val="ro-RO"/>
              </w:rPr>
              <w:t>- diverse tematici abordate în cadrul lecţiilor publice.</w:t>
            </w:r>
          </w:p>
        </w:tc>
        <w:tc>
          <w:tcPr>
            <w:tcW w:w="2700" w:type="dxa"/>
            <w:shd w:val="clear" w:color="auto" w:fill="auto"/>
          </w:tcPr>
          <w:p w:rsidR="00A44A5B" w:rsidRPr="00A44A5B" w:rsidRDefault="00A44A5B" w:rsidP="00A44A5B">
            <w:pPr>
              <w:jc w:val="both"/>
              <w:rPr>
                <w:i/>
                <w:lang w:val="ro-RO"/>
              </w:rPr>
            </w:pPr>
            <w:r w:rsidRPr="00A44A5B">
              <w:rPr>
                <w:i/>
                <w:lang w:val="ro-RO"/>
              </w:rPr>
              <w:t>Pe parcursul anului 2012:</w:t>
            </w:r>
          </w:p>
          <w:p w:rsidR="00A44A5B" w:rsidRPr="00A44A5B" w:rsidRDefault="00A44A5B" w:rsidP="00A44A5B">
            <w:pPr>
              <w:jc w:val="both"/>
              <w:rPr>
                <w:lang w:val="ro-RO"/>
              </w:rPr>
            </w:pPr>
            <w:r w:rsidRPr="00A44A5B">
              <w:rPr>
                <w:lang w:val="it-IT"/>
              </w:rPr>
              <w:t>=</w:t>
            </w:r>
            <w:r w:rsidRPr="00A44A5B">
              <w:rPr>
                <w:lang w:val="ro-RO"/>
              </w:rPr>
              <w:t xml:space="preserve">  9 cursuri de instruire, 2 seminare de instruire a formatorilor, 10 lecţii publice, în total - 867 avocaţi/ avocaţi stagiari instruiţi.</w:t>
            </w: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t>Institutul pentru Drepturile Omului în Moldova</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xml:space="preserve">- drepturile omului, nediscriminarea, confidenţialitatea si repararea prejudiciilor morale </w:t>
            </w:r>
            <w:r w:rsidRPr="00A44A5B">
              <w:rPr>
                <w:lang w:val="ro-RO"/>
              </w:rPr>
              <w:lastRenderedPageBreak/>
              <w:t>persoanelor care trăiesc cu HIV;</w:t>
            </w:r>
          </w:p>
          <w:p w:rsidR="00A44A5B" w:rsidRPr="00A44A5B" w:rsidRDefault="00A44A5B" w:rsidP="00A44A5B">
            <w:pPr>
              <w:jc w:val="both"/>
              <w:rPr>
                <w:lang w:val="ro-RO"/>
              </w:rPr>
            </w:pPr>
            <w:r w:rsidRPr="00A44A5B">
              <w:rPr>
                <w:lang w:val="ro-RO"/>
              </w:rPr>
              <w:t>- apărarea drepturilor omului în locurile de detenţie;</w:t>
            </w:r>
          </w:p>
        </w:tc>
        <w:tc>
          <w:tcPr>
            <w:tcW w:w="2700" w:type="dxa"/>
            <w:shd w:val="clear" w:color="auto" w:fill="auto"/>
          </w:tcPr>
          <w:p w:rsidR="00A44A5B" w:rsidRPr="00A44A5B" w:rsidRDefault="00A44A5B" w:rsidP="00A44A5B">
            <w:pPr>
              <w:jc w:val="both"/>
              <w:rPr>
                <w:i/>
                <w:lang w:val="ro-RO"/>
              </w:rPr>
            </w:pPr>
            <w:r w:rsidRPr="00A44A5B">
              <w:rPr>
                <w:i/>
                <w:lang w:val="ro-RO"/>
              </w:rPr>
              <w:lastRenderedPageBreak/>
              <w:t>Pe parcursul anului 2010-2012:</w:t>
            </w:r>
          </w:p>
          <w:p w:rsidR="00A44A5B" w:rsidRPr="00A44A5B" w:rsidRDefault="00A44A5B" w:rsidP="00A44A5B">
            <w:pPr>
              <w:jc w:val="both"/>
              <w:rPr>
                <w:lang w:val="ro-RO"/>
              </w:rPr>
            </w:pPr>
            <w:r w:rsidRPr="00A44A5B">
              <w:rPr>
                <w:lang w:val="ro-RO"/>
              </w:rPr>
              <w:t>= 801 avocaţi, avocaţi stagiari, jurişti instruiţi;</w:t>
            </w:r>
          </w:p>
          <w:p w:rsidR="00A44A5B" w:rsidRPr="00A44A5B" w:rsidRDefault="00A44A5B" w:rsidP="00A44A5B">
            <w:pPr>
              <w:jc w:val="both"/>
              <w:rPr>
                <w:lang w:val="ro-RO"/>
              </w:rPr>
            </w:pPr>
            <w:r w:rsidRPr="00A44A5B">
              <w:rPr>
                <w:lang w:val="en-US"/>
              </w:rPr>
              <w:lastRenderedPageBreak/>
              <w:t xml:space="preserve">= </w:t>
            </w:r>
            <w:r w:rsidRPr="00A44A5B">
              <w:rPr>
                <w:lang w:val="ro-RO"/>
              </w:rPr>
              <w:t>100 asistenţi sociali, lideri de ONG;</w:t>
            </w:r>
          </w:p>
          <w:p w:rsidR="00A44A5B" w:rsidRPr="00A44A5B" w:rsidRDefault="00A44A5B" w:rsidP="00A44A5B">
            <w:pPr>
              <w:jc w:val="both"/>
              <w:rPr>
                <w:lang w:val="ro-RO"/>
              </w:rPr>
            </w:pPr>
          </w:p>
        </w:tc>
      </w:tr>
      <w:tr w:rsidR="00A44A5B" w:rsidRPr="00A44A5B" w:rsidTr="006D1125">
        <w:trPr>
          <w:trHeight w:val="29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lastRenderedPageBreak/>
              <w:t>Centrul de Informare în domeni</w:t>
            </w:r>
            <w:r w:rsidRPr="00A44A5B">
              <w:rPr>
                <w:i/>
                <w:sz w:val="28"/>
                <w:szCs w:val="28"/>
                <w:lang w:val="pt-BR"/>
              </w:rPr>
              <w:t>ul Drepturilor Omului</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bloggerii apără drepturile omului;</w:t>
            </w:r>
          </w:p>
          <w:p w:rsidR="00A44A5B" w:rsidRPr="00A44A5B" w:rsidRDefault="00A44A5B" w:rsidP="00A44A5B">
            <w:pPr>
              <w:jc w:val="both"/>
              <w:rPr>
                <w:lang w:val="ro-RO"/>
              </w:rPr>
            </w:pPr>
            <w:r w:rsidRPr="00A44A5B">
              <w:rPr>
                <w:lang w:val="ro-RO"/>
              </w:rPr>
              <w:t>- bazele drepturilor omului şi lucrului în domeniul combaterii discriminării;</w:t>
            </w:r>
          </w:p>
          <w:p w:rsidR="00A44A5B" w:rsidRPr="00A44A5B" w:rsidRDefault="00A44A5B" w:rsidP="00A44A5B">
            <w:pPr>
              <w:jc w:val="both"/>
              <w:rPr>
                <w:lang w:val="ro-RO"/>
              </w:rPr>
            </w:pPr>
            <w:r w:rsidRPr="00A44A5B">
              <w:rPr>
                <w:lang w:val="ro-RO"/>
              </w:rPr>
              <w:t>- planificare, implementarea şi evaluarea proiectelor în domeniul drepturilor omului şi anti-discriminării</w:t>
            </w:r>
          </w:p>
        </w:tc>
        <w:tc>
          <w:tcPr>
            <w:tcW w:w="2700" w:type="dxa"/>
            <w:shd w:val="clear" w:color="auto" w:fill="auto"/>
          </w:tcPr>
          <w:p w:rsidR="00A44A5B" w:rsidRPr="00A44A5B" w:rsidRDefault="00A44A5B" w:rsidP="00A44A5B">
            <w:pPr>
              <w:jc w:val="both"/>
              <w:rPr>
                <w:lang w:val="en-US"/>
              </w:rPr>
            </w:pPr>
            <w:r w:rsidRPr="00A44A5B">
              <w:rPr>
                <w:lang w:val="en-US"/>
              </w:rPr>
              <w:t xml:space="preserve"> </w:t>
            </w:r>
          </w:p>
        </w:tc>
      </w:tr>
      <w:tr w:rsidR="00A44A5B" w:rsidRPr="00A44A5B" w:rsidTr="006D1125">
        <w:trPr>
          <w:trHeight w:val="2319"/>
        </w:trPr>
        <w:tc>
          <w:tcPr>
            <w:tcW w:w="2447" w:type="dxa"/>
            <w:shd w:val="clear" w:color="auto" w:fill="auto"/>
          </w:tcPr>
          <w:p w:rsidR="00A44A5B" w:rsidRPr="00A44A5B" w:rsidRDefault="00A44A5B" w:rsidP="00A44A5B">
            <w:pPr>
              <w:jc w:val="center"/>
              <w:rPr>
                <w:i/>
                <w:sz w:val="28"/>
                <w:szCs w:val="28"/>
                <w:lang w:val="ro-RO"/>
              </w:rPr>
            </w:pPr>
            <w:r w:rsidRPr="00A44A5B">
              <w:rPr>
                <w:i/>
                <w:sz w:val="28"/>
                <w:szCs w:val="28"/>
                <w:lang w:val="ro-RO"/>
              </w:rPr>
              <w:t>Coaliţia nediscriminare</w:t>
            </w:r>
          </w:p>
        </w:tc>
        <w:tc>
          <w:tcPr>
            <w:tcW w:w="36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Studenţii facultăţii de drept</w:t>
            </w:r>
          </w:p>
        </w:tc>
        <w:tc>
          <w:tcPr>
            <w:tcW w:w="97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Jurişti/</w:t>
            </w:r>
          </w:p>
          <w:p w:rsidR="00A44A5B" w:rsidRPr="00A44A5B" w:rsidRDefault="00A44A5B" w:rsidP="00A44A5B">
            <w:pPr>
              <w:ind w:left="113" w:right="113"/>
              <w:jc w:val="center"/>
              <w:rPr>
                <w:b/>
                <w:sz w:val="20"/>
                <w:szCs w:val="20"/>
                <w:lang w:val="ro-RO"/>
              </w:rPr>
            </w:pPr>
            <w:r w:rsidRPr="00A44A5B">
              <w:rPr>
                <w:b/>
                <w:sz w:val="20"/>
                <w:szCs w:val="20"/>
                <w:lang w:val="ro-RO"/>
              </w:rPr>
              <w:t>activişti în domeniul dr. omului</w:t>
            </w:r>
          </w:p>
        </w:tc>
        <w:tc>
          <w:tcPr>
            <w:tcW w:w="391"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Parajurişti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 stagiari</w:t>
            </w:r>
          </w:p>
        </w:tc>
        <w:tc>
          <w:tcPr>
            <w:tcW w:w="956" w:type="dxa"/>
            <w:shd w:val="clear" w:color="auto" w:fill="FF0000"/>
            <w:textDirection w:val="btLr"/>
          </w:tcPr>
          <w:p w:rsidR="00A44A5B" w:rsidRPr="00A44A5B" w:rsidRDefault="00A44A5B" w:rsidP="00A44A5B">
            <w:pPr>
              <w:ind w:left="113" w:right="113"/>
              <w:jc w:val="center"/>
              <w:rPr>
                <w:b/>
                <w:sz w:val="20"/>
                <w:szCs w:val="20"/>
                <w:lang w:val="ro-RO"/>
              </w:rPr>
            </w:pPr>
            <w:r w:rsidRPr="00A44A5B">
              <w:rPr>
                <w:b/>
                <w:sz w:val="20"/>
                <w:szCs w:val="20"/>
                <w:lang w:val="ro-RO"/>
              </w:rPr>
              <w:t>Avocaţi/</w:t>
            </w:r>
          </w:p>
          <w:p w:rsidR="00A44A5B" w:rsidRPr="00A44A5B" w:rsidRDefault="00A44A5B" w:rsidP="00A44A5B">
            <w:pPr>
              <w:ind w:left="113" w:right="113"/>
              <w:jc w:val="center"/>
              <w:rPr>
                <w:b/>
                <w:sz w:val="20"/>
                <w:szCs w:val="20"/>
                <w:lang w:val="ro-RO"/>
              </w:rPr>
            </w:pPr>
            <w:r w:rsidRPr="00A44A5B">
              <w:rPr>
                <w:b/>
                <w:sz w:val="20"/>
                <w:szCs w:val="20"/>
                <w:lang w:val="ro-RO"/>
              </w:rPr>
              <w:t>Inclusiv  avocaţi care acordă ajgs</w:t>
            </w:r>
          </w:p>
        </w:tc>
        <w:tc>
          <w:tcPr>
            <w:tcW w:w="338"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Judecători</w:t>
            </w:r>
          </w:p>
        </w:tc>
        <w:tc>
          <w:tcPr>
            <w:tcW w:w="584"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Procurori/</w:t>
            </w:r>
          </w:p>
          <w:p w:rsidR="00A44A5B" w:rsidRPr="00A44A5B" w:rsidRDefault="00A44A5B" w:rsidP="00A44A5B">
            <w:pPr>
              <w:ind w:left="113" w:right="113"/>
              <w:jc w:val="center"/>
              <w:rPr>
                <w:b/>
                <w:sz w:val="20"/>
                <w:szCs w:val="20"/>
                <w:lang w:val="ro-RO"/>
              </w:rPr>
            </w:pPr>
            <w:r w:rsidRPr="00A44A5B">
              <w:rPr>
                <w:b/>
                <w:sz w:val="20"/>
                <w:szCs w:val="20"/>
                <w:lang w:val="ro-RO"/>
              </w:rPr>
              <w:t>Ofiţeri de UP</w:t>
            </w:r>
          </w:p>
        </w:tc>
        <w:tc>
          <w:tcPr>
            <w:tcW w:w="391"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 xml:space="preserve">Ofiţeri de poliţie </w:t>
            </w:r>
          </w:p>
        </w:tc>
        <w:tc>
          <w:tcPr>
            <w:tcW w:w="427"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Consilieri de probaţiune</w:t>
            </w:r>
          </w:p>
        </w:tc>
        <w:tc>
          <w:tcPr>
            <w:tcW w:w="336"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Jurnalişti, manageri media</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ONG-uri</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Cadre medicale</w:t>
            </w:r>
          </w:p>
        </w:tc>
        <w:tc>
          <w:tcPr>
            <w:tcW w:w="382"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Psihologi</w:t>
            </w:r>
          </w:p>
        </w:tc>
        <w:tc>
          <w:tcPr>
            <w:tcW w:w="400"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Asistenţi sociali</w:t>
            </w:r>
          </w:p>
        </w:tc>
        <w:tc>
          <w:tcPr>
            <w:tcW w:w="345" w:type="dxa"/>
            <w:shd w:val="clear" w:color="auto" w:fill="auto"/>
            <w:textDirection w:val="btLr"/>
          </w:tcPr>
          <w:p w:rsidR="00A44A5B" w:rsidRPr="00A44A5B" w:rsidRDefault="00A44A5B" w:rsidP="00A44A5B">
            <w:pPr>
              <w:ind w:left="113" w:right="113"/>
              <w:jc w:val="center"/>
              <w:rPr>
                <w:b/>
                <w:sz w:val="20"/>
                <w:szCs w:val="20"/>
                <w:lang w:val="ro-RO"/>
              </w:rPr>
            </w:pPr>
            <w:r w:rsidRPr="00A44A5B">
              <w:rPr>
                <w:b/>
                <w:sz w:val="20"/>
                <w:szCs w:val="20"/>
                <w:lang w:val="ro-RO"/>
              </w:rPr>
              <w:t>Ofiţerii militari</w:t>
            </w:r>
          </w:p>
        </w:tc>
        <w:tc>
          <w:tcPr>
            <w:tcW w:w="3060" w:type="dxa"/>
            <w:shd w:val="clear" w:color="auto" w:fill="auto"/>
          </w:tcPr>
          <w:p w:rsidR="00A44A5B" w:rsidRPr="00A44A5B" w:rsidRDefault="00A44A5B" w:rsidP="00A44A5B">
            <w:pPr>
              <w:jc w:val="both"/>
              <w:rPr>
                <w:lang w:val="ro-RO"/>
              </w:rPr>
            </w:pPr>
            <w:r w:rsidRPr="00A44A5B">
              <w:rPr>
                <w:lang w:val="ro-RO"/>
              </w:rPr>
              <w:t>- nediscriminarea şi egalitatea;</w:t>
            </w:r>
          </w:p>
        </w:tc>
        <w:tc>
          <w:tcPr>
            <w:tcW w:w="2700" w:type="dxa"/>
            <w:shd w:val="clear" w:color="auto" w:fill="auto"/>
          </w:tcPr>
          <w:p w:rsidR="00A44A5B" w:rsidRPr="00A44A5B" w:rsidRDefault="00A44A5B" w:rsidP="00A44A5B">
            <w:pPr>
              <w:jc w:val="both"/>
              <w:rPr>
                <w:i/>
                <w:lang w:val="ro-RO"/>
              </w:rPr>
            </w:pPr>
            <w:r w:rsidRPr="00A44A5B">
              <w:rPr>
                <w:i/>
                <w:lang w:val="ro-RO"/>
              </w:rPr>
              <w:t xml:space="preserve">Pe parcursul anului 2013: </w:t>
            </w:r>
          </w:p>
          <w:p w:rsidR="00A44A5B" w:rsidRPr="00A44A5B" w:rsidRDefault="00A44A5B" w:rsidP="00A44A5B">
            <w:pPr>
              <w:jc w:val="both"/>
              <w:rPr>
                <w:lang w:val="ro-RO"/>
              </w:rPr>
            </w:pPr>
            <w:r w:rsidRPr="00A44A5B">
              <w:rPr>
                <w:lang w:val="en-US"/>
              </w:rPr>
              <w:t xml:space="preserve">= </w:t>
            </w:r>
            <w:r w:rsidRPr="00A44A5B">
              <w:rPr>
                <w:lang w:val="ro-RO"/>
              </w:rPr>
              <w:t>16 parajurişti, 5 avocaţi instruiţi;</w:t>
            </w:r>
          </w:p>
        </w:tc>
      </w:tr>
    </w:tbl>
    <w:p w:rsidR="00A44A5B" w:rsidRPr="00A44A5B" w:rsidRDefault="00A44A5B" w:rsidP="00A44A5B">
      <w:pPr>
        <w:jc w:val="both"/>
        <w:rPr>
          <w:lang w:val="ro-RO"/>
        </w:rPr>
        <w:sectPr w:rsidR="00A44A5B" w:rsidRPr="00A44A5B" w:rsidSect="00363897">
          <w:pgSz w:w="16838" w:h="11906" w:orient="landscape"/>
          <w:pgMar w:top="1797" w:right="1134" w:bottom="851" w:left="1134" w:header="709" w:footer="709" w:gutter="0"/>
          <w:cols w:space="708"/>
          <w:docGrid w:linePitch="360"/>
        </w:sectPr>
      </w:pPr>
    </w:p>
    <w:p w:rsidR="00A44A5B" w:rsidRPr="00A44A5B" w:rsidRDefault="00A44A5B" w:rsidP="00A44A5B">
      <w:pP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jc w:val="center"/>
        <w:rPr>
          <w:b/>
          <w:lang w:val="ro-RO"/>
        </w:rPr>
      </w:pPr>
    </w:p>
    <w:p w:rsidR="00A44A5B" w:rsidRPr="00A44A5B" w:rsidRDefault="00A44A5B" w:rsidP="00A44A5B">
      <w:pPr>
        <w:rPr>
          <w:lang w:val="ro-RO"/>
        </w:rPr>
      </w:pPr>
    </w:p>
    <w:p w:rsidR="00A44A5B" w:rsidRPr="00A44A5B" w:rsidRDefault="00A44A5B" w:rsidP="00A44A5B">
      <w:pPr>
        <w:rPr>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Default="00A44A5B" w:rsidP="00A44A5B">
      <w:pPr>
        <w:rPr>
          <w:sz w:val="28"/>
          <w:szCs w:val="28"/>
          <w:lang w:val="ro-RO"/>
        </w:rPr>
      </w:pPr>
    </w:p>
    <w:p w:rsidR="00A44A5B" w:rsidRPr="001376F7" w:rsidRDefault="00A44A5B" w:rsidP="00A44A5B">
      <w:pPr>
        <w:rPr>
          <w:sz w:val="28"/>
          <w:szCs w:val="28"/>
          <w:lang w:val="ro-RO"/>
        </w:rPr>
      </w:pPr>
    </w:p>
    <w:sectPr w:rsidR="00A44A5B" w:rsidRPr="001376F7" w:rsidSect="004022FB">
      <w:footerReference w:type="default" r:id="rId29"/>
      <w:pgSz w:w="11906" w:h="17338"/>
      <w:pgMar w:top="1718" w:right="765" w:bottom="1146" w:left="1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F3" w:rsidRDefault="007408F3" w:rsidP="001F0BA4">
      <w:r>
        <w:separator/>
      </w:r>
    </w:p>
  </w:endnote>
  <w:endnote w:type="continuationSeparator" w:id="0">
    <w:p w:rsidR="007408F3" w:rsidRDefault="007408F3" w:rsidP="001F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5B" w:rsidRDefault="00A44A5B" w:rsidP="00727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A5B" w:rsidRDefault="00A44A5B" w:rsidP="00D90B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5B" w:rsidRDefault="00A44A5B" w:rsidP="00727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A44A5B" w:rsidRDefault="00A44A5B" w:rsidP="00D90BD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DB" w:rsidRDefault="00171B36" w:rsidP="0089159E">
    <w:pPr>
      <w:pStyle w:val="Footer"/>
      <w:framePr w:wrap="auto" w:vAnchor="text" w:hAnchor="margin" w:xAlign="right" w:y="1"/>
      <w:rPr>
        <w:rStyle w:val="PageNumber"/>
      </w:rPr>
    </w:pPr>
    <w:r>
      <w:rPr>
        <w:rStyle w:val="PageNumber"/>
      </w:rPr>
      <w:fldChar w:fldCharType="begin"/>
    </w:r>
    <w:r w:rsidR="00263DDB">
      <w:rPr>
        <w:rStyle w:val="PageNumber"/>
      </w:rPr>
      <w:instrText xml:space="preserve">PAGE  </w:instrText>
    </w:r>
    <w:r>
      <w:rPr>
        <w:rStyle w:val="PageNumber"/>
      </w:rPr>
      <w:fldChar w:fldCharType="separate"/>
    </w:r>
    <w:r w:rsidR="00A44A5B">
      <w:rPr>
        <w:rStyle w:val="PageNumber"/>
        <w:noProof/>
      </w:rPr>
      <w:t>40</w:t>
    </w:r>
    <w:r>
      <w:rPr>
        <w:rStyle w:val="PageNumber"/>
      </w:rPr>
      <w:fldChar w:fldCharType="end"/>
    </w:r>
  </w:p>
  <w:p w:rsidR="00263DDB" w:rsidRDefault="00263DDB" w:rsidP="00271606">
    <w:pPr>
      <w:pStyle w:val="Footer"/>
      <w:ind w:right="360"/>
    </w:pPr>
  </w:p>
  <w:p w:rsidR="00000000" w:rsidRDefault="007408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F3" w:rsidRDefault="007408F3" w:rsidP="001F0BA4">
      <w:r>
        <w:separator/>
      </w:r>
    </w:p>
  </w:footnote>
  <w:footnote w:type="continuationSeparator" w:id="0">
    <w:p w:rsidR="007408F3" w:rsidRDefault="007408F3" w:rsidP="001F0BA4">
      <w:r>
        <w:continuationSeparator/>
      </w:r>
    </w:p>
  </w:footnote>
  <w:footnote w:id="1">
    <w:p w:rsidR="00FA6056" w:rsidRPr="00FA6056" w:rsidRDefault="00FA6056">
      <w:pPr>
        <w:pStyle w:val="FootnoteText"/>
        <w:rPr>
          <w:lang w:val="ro-RO"/>
        </w:rPr>
      </w:pPr>
      <w:r>
        <w:rPr>
          <w:rStyle w:val="FootnoteReference"/>
        </w:rPr>
        <w:footnoteRef/>
      </w:r>
      <w:r>
        <w:t xml:space="preserve"> </w:t>
      </w:r>
      <w:r w:rsidRPr="004A083C">
        <w:rPr>
          <w:b/>
          <w:i/>
          <w:lang w:val="ro-RO"/>
        </w:rPr>
        <w:t>Pilonul III – Accesul la justiţie</w:t>
      </w:r>
      <w:r w:rsidRPr="004A083C">
        <w:rPr>
          <w:i/>
          <w:lang w:val="ro-RO"/>
        </w:rPr>
        <w:t xml:space="preserve"> şi executarea hotărârilor judecătoreşti; Obiectiv specific – ameliorarea cadrului instituţional şi a proceselor care asigură accesul efectiv la justiţie: asistenţă juridică efectivă, examinarea cauzelor şi executarea hotărârilor judecătoreşti în termen rezonabil, modernizarea statutului unor profesii juridice conexe sistemului de justiţie; Direcţia Strategică 3.1 – Fortificarea sistemului de acordare a asistenţei juridice garantate de stat (AJGS), domeniul de intervenţie strategică 3.1.2 pct. 5 – Instruirea şi asistenţa metodică continuă a persoanelor autorizate să acorde asistenţă juridică garantată de stat; </w:t>
      </w:r>
      <w:r w:rsidRPr="004A083C">
        <w:rPr>
          <w:b/>
          <w:i/>
          <w:lang w:val="ro-RO"/>
        </w:rPr>
        <w:t>Pilonul VI – Respectarea drepturilor omului în sectorul justiţiei;</w:t>
      </w:r>
      <w:r w:rsidRPr="004A083C">
        <w:rPr>
          <w:i/>
          <w:lang w:val="ro-RO"/>
        </w:rPr>
        <w:t xml:space="preserve"> Obiectiv specific: Asigurarea respectării drepturilor omului în practicile şi politicile juridice; Direcţia Strategică 6.3 – Consolidarea sistemului de justiţie pentru copii, Domeniul de intervenţie strategică 6.3.1.7. - </w:t>
      </w:r>
      <w:r w:rsidRPr="004A083C">
        <w:rPr>
          <w:i/>
        </w:rPr>
        <w:t>Instruirea avocaţilor specializaţi în asistenţa juridică garantată de stat în cauzele  care implică copii</w:t>
      </w:r>
      <w:r w:rsidR="004A083C" w:rsidRPr="004A083C">
        <w:rPr>
          <w:i/>
        </w:rPr>
        <w:t>.</w:t>
      </w:r>
    </w:p>
  </w:footnote>
  <w:footnote w:id="2">
    <w:p w:rsidR="004A083C" w:rsidRPr="004A083C" w:rsidRDefault="004A083C">
      <w:pPr>
        <w:pStyle w:val="FootnoteText"/>
        <w:rPr>
          <w:lang w:val="ro-RO"/>
        </w:rPr>
      </w:pPr>
      <w:r>
        <w:rPr>
          <w:rStyle w:val="FootnoteReference"/>
        </w:rPr>
        <w:footnoteRef/>
      </w:r>
      <w:r>
        <w:t xml:space="preserve"> </w:t>
      </w:r>
      <w:r w:rsidRPr="004A083C">
        <w:rPr>
          <w:i/>
          <w:lang w:val="ro-RO"/>
        </w:rPr>
        <w:t xml:space="preserve">Capitolul 3. </w:t>
      </w:r>
      <w:r w:rsidRPr="004A083C">
        <w:rPr>
          <w:b/>
          <w:i/>
          <w:lang w:val="ro-RO"/>
        </w:rPr>
        <w:t>Consolidarea justiţiei şi a instituţiilor pentru protecţia drepturilor omului</w:t>
      </w:r>
      <w:r w:rsidRPr="004A083C">
        <w:rPr>
          <w:i/>
          <w:lang w:val="ro-RO"/>
        </w:rPr>
        <w:t>, Obiectiv 17, 19, Domenii specifice de intervenţie - Instruirea avocaţilor specializaţi care acordă asistenţă juridică garantată de stat în cauzele cu implicarea copiilor, i</w:t>
      </w:r>
      <w:r w:rsidRPr="004A083C">
        <w:rPr>
          <w:i/>
        </w:rPr>
        <w:t>nstruirea şi asistenţa metodică continuă a persoanelor autoriz</w:t>
      </w:r>
      <w:r w:rsidR="00772540">
        <w:rPr>
          <w:i/>
        </w:rPr>
        <w:t>ate să acorde asistenţă juridică</w:t>
      </w:r>
      <w:r w:rsidRPr="004A083C">
        <w:rPr>
          <w:i/>
        </w:rPr>
        <w:t>.</w:t>
      </w:r>
    </w:p>
  </w:footnote>
  <w:footnote w:id="3">
    <w:p w:rsidR="00F5073B" w:rsidRPr="00F5073B" w:rsidRDefault="00F5073B">
      <w:pPr>
        <w:pStyle w:val="FootnoteText"/>
        <w:rPr>
          <w:lang w:val="ro-RO"/>
        </w:rPr>
      </w:pPr>
      <w:r>
        <w:rPr>
          <w:rStyle w:val="FootnoteReference"/>
        </w:rPr>
        <w:footnoteRef/>
      </w:r>
      <w:r>
        <w:t xml:space="preserve"> </w:t>
      </w:r>
      <w:r w:rsidRPr="00F5073B">
        <w:rPr>
          <w:lang w:val="ro-RO"/>
        </w:rPr>
        <w:t>Pentru detalii, vezi anexa 1.</w:t>
      </w:r>
    </w:p>
  </w:footnote>
  <w:footnote w:id="4">
    <w:p w:rsidR="00A44A5B" w:rsidRPr="00382BC0" w:rsidRDefault="00A44A5B" w:rsidP="00A44A5B">
      <w:pPr>
        <w:pStyle w:val="FootnoteText"/>
        <w:rPr>
          <w:lang w:val="ro-RO"/>
        </w:rPr>
      </w:pPr>
      <w:r>
        <w:rPr>
          <w:rStyle w:val="FootnoteReference"/>
        </w:rPr>
        <w:footnoteRef/>
      </w:r>
      <w:r w:rsidRPr="005C3E93">
        <w:t xml:space="preserve"> </w:t>
      </w:r>
      <w:r>
        <w:rPr>
          <w:lang w:val="ro-RO"/>
        </w:rPr>
        <w:t>Datele colectate vizează activităţile desfăşurate pe parcursul anilor 2010-2013.</w:t>
      </w:r>
    </w:p>
  </w:footnote>
  <w:footnote w:id="5">
    <w:p w:rsidR="00A44A5B" w:rsidRPr="00154A91" w:rsidRDefault="00A44A5B" w:rsidP="00A44A5B">
      <w:pPr>
        <w:pStyle w:val="FootnoteText"/>
        <w:rPr>
          <w:lang w:val="pt-BR"/>
        </w:rPr>
      </w:pPr>
      <w:r>
        <w:rPr>
          <w:rStyle w:val="FootnoteReference"/>
        </w:rPr>
        <w:footnoteRef/>
      </w:r>
      <w:r w:rsidRPr="00154A91">
        <w:rPr>
          <w:lang w:val="pt-BR"/>
        </w:rPr>
        <w:t xml:space="preserve"> http://www.osce.org/cio/96652</w:t>
      </w:r>
    </w:p>
  </w:footnote>
  <w:footnote w:id="6">
    <w:p w:rsidR="00A44A5B" w:rsidRPr="00154A91" w:rsidRDefault="00A44A5B" w:rsidP="00A44A5B">
      <w:pPr>
        <w:rPr>
          <w:sz w:val="28"/>
          <w:szCs w:val="28"/>
          <w:lang w:val="pt-BR"/>
        </w:rPr>
      </w:pPr>
      <w:r>
        <w:rPr>
          <w:rStyle w:val="FootnoteReference"/>
        </w:rPr>
        <w:footnoteRef/>
      </w:r>
      <w:r w:rsidRPr="00154A91">
        <w:rPr>
          <w:lang w:val="pt-BR"/>
        </w:rPr>
        <w:t xml:space="preserve"> </w:t>
      </w:r>
      <w:hyperlink r:id="rId1" w:history="1">
        <w:r w:rsidRPr="00154A91">
          <w:rPr>
            <w:rStyle w:val="Hyperlink"/>
            <w:sz w:val="20"/>
            <w:szCs w:val="20"/>
            <w:lang w:val="pt-BR"/>
          </w:rPr>
          <w:t>http://www.osce.org/cthb/92309</w:t>
        </w:r>
      </w:hyperlink>
    </w:p>
  </w:footnote>
  <w:footnote w:id="7">
    <w:p w:rsidR="00A44A5B" w:rsidRPr="00154A91" w:rsidRDefault="00A44A5B" w:rsidP="00A44A5B">
      <w:pPr>
        <w:pStyle w:val="FootnoteText"/>
        <w:rPr>
          <w:lang w:val="pt-BR"/>
        </w:rPr>
      </w:pPr>
      <w:r>
        <w:rPr>
          <w:rStyle w:val="FootnoteReference"/>
        </w:rPr>
        <w:footnoteRef/>
      </w:r>
      <w:r w:rsidRPr="00154A91">
        <w:rPr>
          <w:lang w:val="pt-BR"/>
        </w:rPr>
        <w:t xml:space="preserve"> http://www.osce.org/cthb/84633</w:t>
      </w:r>
    </w:p>
  </w:footnote>
  <w:footnote w:id="8">
    <w:p w:rsidR="00A44A5B" w:rsidRPr="001C0F94" w:rsidRDefault="00A44A5B" w:rsidP="00A44A5B">
      <w:pPr>
        <w:pStyle w:val="FootnoteText"/>
        <w:rPr>
          <w:lang w:val="pt-BR"/>
        </w:rPr>
      </w:pPr>
      <w:r>
        <w:rPr>
          <w:rStyle w:val="FootnoteReference"/>
        </w:rPr>
        <w:footnoteRef/>
      </w:r>
      <w:r w:rsidRPr="001C0F94">
        <w:rPr>
          <w:lang w:val="pt-BR"/>
        </w:rPr>
        <w:t xml:space="preserve"> http://www.osce.org/moldova/86013</w:t>
      </w:r>
    </w:p>
  </w:footnote>
  <w:footnote w:id="9">
    <w:p w:rsidR="00A44A5B" w:rsidRPr="00C9008C" w:rsidRDefault="00A44A5B" w:rsidP="00A44A5B">
      <w:pPr>
        <w:pStyle w:val="FootnoteText"/>
        <w:rPr>
          <w:lang w:val="pt-BR"/>
        </w:rPr>
      </w:pPr>
      <w:r>
        <w:rPr>
          <w:rStyle w:val="FootnoteReference"/>
        </w:rPr>
        <w:footnoteRef/>
      </w:r>
      <w:r w:rsidRPr="00C9008C">
        <w:rPr>
          <w:lang w:val="pt-BR"/>
        </w:rPr>
        <w:t xml:space="preserve"> http://www.osce.org/ro/moldova/66433</w:t>
      </w:r>
    </w:p>
  </w:footnote>
  <w:footnote w:id="10">
    <w:p w:rsidR="00A44A5B" w:rsidRPr="000B5248" w:rsidRDefault="00A44A5B" w:rsidP="00A44A5B">
      <w:pPr>
        <w:pStyle w:val="FootnoteText"/>
        <w:rPr>
          <w:lang w:val="pt-BR"/>
        </w:rPr>
      </w:pPr>
      <w:r>
        <w:rPr>
          <w:rStyle w:val="FootnoteReference"/>
        </w:rPr>
        <w:footnoteRef/>
      </w:r>
      <w:r w:rsidRPr="000B5248">
        <w:rPr>
          <w:lang w:val="pt-BR"/>
        </w:rPr>
        <w:t xml:space="preserve"> http://training-center.md/ro/proiecte-internationale/priectul-osce-recalificarea-militarilor</w:t>
      </w:r>
    </w:p>
  </w:footnote>
  <w:footnote w:id="11">
    <w:p w:rsidR="00A44A5B" w:rsidRPr="00C9008C" w:rsidRDefault="00A44A5B" w:rsidP="00A44A5B">
      <w:pPr>
        <w:pStyle w:val="FootnoteText"/>
        <w:rPr>
          <w:lang w:val="pt-BR"/>
        </w:rPr>
      </w:pPr>
      <w:r>
        <w:rPr>
          <w:rStyle w:val="FootnoteReference"/>
        </w:rPr>
        <w:footnoteRef/>
      </w:r>
      <w:r w:rsidRPr="00C9008C">
        <w:rPr>
          <w:lang w:val="pt-BR"/>
        </w:rPr>
        <w:t xml:space="preserve"> http://www.osce.org/ro/moldova/66437</w:t>
      </w:r>
    </w:p>
  </w:footnote>
  <w:footnote w:id="12">
    <w:p w:rsidR="00A44A5B" w:rsidRPr="00154A91" w:rsidRDefault="00A44A5B" w:rsidP="00A44A5B">
      <w:pPr>
        <w:pStyle w:val="FootnoteText"/>
        <w:rPr>
          <w:lang w:val="pt-BR"/>
        </w:rPr>
      </w:pPr>
      <w:r>
        <w:rPr>
          <w:rStyle w:val="FootnoteReference"/>
        </w:rPr>
        <w:footnoteRef/>
      </w:r>
      <w:r w:rsidRPr="00154A91">
        <w:rPr>
          <w:lang w:val="pt-BR"/>
        </w:rPr>
        <w:t xml:space="preserve"> http://www.osce.org/moldova/92562</w:t>
      </w:r>
    </w:p>
  </w:footnote>
  <w:footnote w:id="13">
    <w:p w:rsidR="00A44A5B" w:rsidRPr="001C0F94" w:rsidRDefault="00A44A5B" w:rsidP="00A44A5B">
      <w:pPr>
        <w:pStyle w:val="FootnoteText"/>
        <w:rPr>
          <w:lang w:val="pt-BR"/>
        </w:rPr>
      </w:pPr>
      <w:r>
        <w:rPr>
          <w:rStyle w:val="FootnoteReference"/>
        </w:rPr>
        <w:footnoteRef/>
      </w:r>
      <w:r w:rsidRPr="001C0F94">
        <w:rPr>
          <w:lang w:val="pt-BR"/>
        </w:rPr>
        <w:t xml:space="preserve"> http://www.osce.org/moldova/97127</w:t>
      </w:r>
    </w:p>
  </w:footnote>
  <w:footnote w:id="14">
    <w:p w:rsidR="00A44A5B" w:rsidRPr="00D90BDD" w:rsidRDefault="00A44A5B" w:rsidP="00A44A5B">
      <w:pPr>
        <w:pStyle w:val="FootnoteText"/>
        <w:rPr>
          <w:lang w:val="pt-BR"/>
        </w:rPr>
      </w:pPr>
      <w:r>
        <w:rPr>
          <w:rStyle w:val="FootnoteReference"/>
        </w:rPr>
        <w:footnoteRef/>
      </w:r>
      <w:r w:rsidRPr="00D90BDD">
        <w:rPr>
          <w:lang w:val="pt-BR"/>
        </w:rPr>
        <w:t xml:space="preserve"> http://www.norlam.md/pageview.php?l=ro&amp;idc=130</w:t>
      </w:r>
    </w:p>
  </w:footnote>
  <w:footnote w:id="15">
    <w:p w:rsidR="00A44A5B" w:rsidRPr="00011822" w:rsidRDefault="00A44A5B" w:rsidP="00A44A5B">
      <w:pPr>
        <w:pStyle w:val="FootnoteText"/>
        <w:rPr>
          <w:lang w:val="ro-RO"/>
        </w:rPr>
      </w:pPr>
      <w:r>
        <w:rPr>
          <w:rStyle w:val="FootnoteReference"/>
        </w:rPr>
        <w:footnoteRef/>
      </w:r>
      <w:r w:rsidRPr="00154A91">
        <w:rPr>
          <w:lang w:val="pt-BR"/>
        </w:rPr>
        <w:t xml:space="preserve"> </w:t>
      </w:r>
      <w:r>
        <w:rPr>
          <w:lang w:val="ro-RO"/>
        </w:rPr>
        <w:t xml:space="preserve">Raportul executiv NORLAM 2012: </w:t>
      </w:r>
      <w:r w:rsidRPr="00011822">
        <w:rPr>
          <w:lang w:val="ro-RO"/>
        </w:rPr>
        <w:t>http://www.norlam.md/doc.php?l=ro&amp;idc=271&amp;id=710</w:t>
      </w:r>
    </w:p>
  </w:footnote>
  <w:footnote w:id="16">
    <w:p w:rsidR="00A44A5B" w:rsidRPr="005E633D" w:rsidRDefault="00A44A5B" w:rsidP="00A44A5B">
      <w:pPr>
        <w:pStyle w:val="FootnoteText"/>
        <w:rPr>
          <w:lang w:val="ro-RO"/>
        </w:rPr>
      </w:pPr>
      <w:r>
        <w:rPr>
          <w:rStyle w:val="FootnoteReference"/>
        </w:rPr>
        <w:footnoteRef/>
      </w:r>
      <w:r w:rsidRPr="005E633D">
        <w:rPr>
          <w:lang w:val="ro-RO"/>
        </w:rPr>
        <w:t xml:space="preserve"> </w:t>
      </w:r>
      <w:r w:rsidRPr="00382BC0">
        <w:rPr>
          <w:lang w:val="ro-RO"/>
        </w:rPr>
        <w:t>http://norlam.md/public/files/docs/2012_added/ANNUAL_REPORT_2011_NORLAM_final.pdf</w:t>
      </w:r>
    </w:p>
  </w:footnote>
  <w:footnote w:id="17">
    <w:p w:rsidR="00A44A5B" w:rsidRPr="00011822" w:rsidRDefault="00A44A5B" w:rsidP="00A44A5B">
      <w:pPr>
        <w:pStyle w:val="FootnoteText"/>
        <w:rPr>
          <w:lang w:val="ro-RO"/>
        </w:rPr>
      </w:pPr>
      <w:r>
        <w:rPr>
          <w:rStyle w:val="FootnoteReference"/>
        </w:rPr>
        <w:footnoteRef/>
      </w:r>
      <w:r w:rsidRPr="00011822">
        <w:rPr>
          <w:lang w:val="ro-RO"/>
        </w:rPr>
        <w:t xml:space="preserve"> http://www.norlam.md/slidepageview.php?l=ro&amp;idc=283</w:t>
      </w:r>
    </w:p>
  </w:footnote>
  <w:footnote w:id="18">
    <w:p w:rsidR="00A44A5B" w:rsidRPr="0019531F" w:rsidRDefault="00A44A5B" w:rsidP="00A44A5B">
      <w:pPr>
        <w:pStyle w:val="FootnoteText"/>
        <w:rPr>
          <w:lang w:val="ro-RO"/>
        </w:rPr>
      </w:pPr>
      <w:r>
        <w:rPr>
          <w:rStyle w:val="FootnoteReference"/>
        </w:rPr>
        <w:footnoteRef/>
      </w:r>
      <w:r w:rsidRPr="0019531F">
        <w:rPr>
          <w:lang w:val="ro-RO"/>
        </w:rPr>
        <w:t xml:space="preserve"> http://www.undp.md/presscentre/2013/HIVTraining_31May/index.shtml</w:t>
      </w:r>
    </w:p>
  </w:footnote>
  <w:footnote w:id="19">
    <w:p w:rsidR="00A44A5B" w:rsidRPr="00447C31" w:rsidRDefault="00A44A5B" w:rsidP="00A44A5B">
      <w:pPr>
        <w:jc w:val="both"/>
        <w:rPr>
          <w:i/>
          <w:lang w:val="ro-RO"/>
        </w:rPr>
      </w:pPr>
      <w:r>
        <w:rPr>
          <w:rStyle w:val="FootnoteReference"/>
        </w:rPr>
        <w:footnoteRef/>
      </w:r>
      <w:hyperlink r:id="rId2" w:history="1">
        <w:r w:rsidRPr="00447C31">
          <w:rPr>
            <w:rStyle w:val="Hyperlink"/>
            <w:sz w:val="20"/>
            <w:szCs w:val="20"/>
            <w:lang w:val="ro-RO"/>
          </w:rPr>
          <w:t>http://www.un.md/un_res_coord_sys/docs/2012%20Progress%20Report%20-%20Moldova%20UNDAF.pdf</w:t>
        </w:r>
      </w:hyperlink>
    </w:p>
  </w:footnote>
  <w:footnote w:id="20">
    <w:p w:rsidR="00A44A5B" w:rsidRPr="004F3A8A" w:rsidRDefault="00A44A5B" w:rsidP="00A44A5B">
      <w:pPr>
        <w:pStyle w:val="FootnoteText"/>
        <w:rPr>
          <w:lang w:val="ro-RO"/>
        </w:rPr>
      </w:pPr>
      <w:r>
        <w:rPr>
          <w:rStyle w:val="FootnoteReference"/>
        </w:rPr>
        <w:footnoteRef/>
      </w:r>
      <w:r w:rsidRPr="004F3A8A">
        <w:rPr>
          <w:lang w:val="ro-RO"/>
        </w:rPr>
        <w:t xml:space="preserve"> http://www.undp.md/projects/cards/pdf_eng/2010/MFAEI.pdf</w:t>
      </w:r>
    </w:p>
  </w:footnote>
  <w:footnote w:id="21">
    <w:p w:rsidR="00A44A5B" w:rsidRPr="004F3A8A" w:rsidRDefault="00A44A5B" w:rsidP="00A44A5B">
      <w:pPr>
        <w:pStyle w:val="FootnoteText"/>
        <w:rPr>
          <w:lang w:val="ro-RO"/>
        </w:rPr>
      </w:pPr>
      <w:r>
        <w:rPr>
          <w:rStyle w:val="FootnoteReference"/>
        </w:rPr>
        <w:footnoteRef/>
      </w:r>
      <w:r w:rsidRPr="004F3A8A">
        <w:rPr>
          <w:lang w:val="ro-RO"/>
        </w:rPr>
        <w:t xml:space="preserve"> http://www.undp.md/projects/cards/pdf_eng/2012/EGov_Rom.pdf</w:t>
      </w:r>
    </w:p>
  </w:footnote>
  <w:footnote w:id="22">
    <w:p w:rsidR="00A44A5B" w:rsidRPr="004F3A8A" w:rsidRDefault="00A44A5B" w:rsidP="00A44A5B">
      <w:pPr>
        <w:pStyle w:val="FootnoteText"/>
        <w:rPr>
          <w:lang w:val="ro-RO"/>
        </w:rPr>
      </w:pPr>
      <w:r>
        <w:rPr>
          <w:rStyle w:val="FootnoteReference"/>
        </w:rPr>
        <w:footnoteRef/>
      </w:r>
      <w:r w:rsidRPr="004F3A8A">
        <w:rPr>
          <w:lang w:val="ro-RO"/>
        </w:rPr>
        <w:t xml:space="preserve"> http://www.undp.md/projects/cards/pdf_eng/2012/Forensic_ProjectCard_ROM.pdf</w:t>
      </w:r>
    </w:p>
  </w:footnote>
  <w:footnote w:id="23">
    <w:p w:rsidR="00A44A5B" w:rsidRPr="00A859B5" w:rsidRDefault="00A44A5B" w:rsidP="00A44A5B">
      <w:pPr>
        <w:pStyle w:val="FootnoteText"/>
        <w:rPr>
          <w:lang w:val="ro-RO"/>
        </w:rPr>
      </w:pPr>
      <w:r>
        <w:rPr>
          <w:rStyle w:val="FootnoteReference"/>
        </w:rPr>
        <w:footnoteRef/>
      </w:r>
      <w:r w:rsidRPr="00A859B5">
        <w:rPr>
          <w:lang w:val="ro-RO"/>
        </w:rPr>
        <w:t xml:space="preserve"> http://www.soros.md/album/1735</w:t>
      </w:r>
    </w:p>
  </w:footnote>
  <w:footnote w:id="24">
    <w:p w:rsidR="00A44A5B" w:rsidRPr="00F208A4" w:rsidRDefault="00A44A5B" w:rsidP="00A44A5B">
      <w:pPr>
        <w:pStyle w:val="FootnoteText"/>
        <w:rPr>
          <w:lang w:val="ro-RO"/>
        </w:rPr>
      </w:pPr>
      <w:r>
        <w:rPr>
          <w:rStyle w:val="FootnoteReference"/>
        </w:rPr>
        <w:footnoteRef/>
      </w:r>
      <w:r w:rsidRPr="00F208A4">
        <w:rPr>
          <w:lang w:val="ro-RO"/>
        </w:rPr>
        <w:t xml:space="preserve"> http://www.amnesty.md/despre/ai-moldova/</w:t>
      </w:r>
    </w:p>
  </w:footnote>
  <w:footnote w:id="25">
    <w:p w:rsidR="00A44A5B" w:rsidRPr="00F208A4" w:rsidRDefault="00A44A5B" w:rsidP="00A44A5B">
      <w:pPr>
        <w:pStyle w:val="FootnoteText"/>
        <w:rPr>
          <w:lang w:val="ro-RO"/>
        </w:rPr>
      </w:pPr>
      <w:r>
        <w:rPr>
          <w:rStyle w:val="FootnoteReference"/>
        </w:rPr>
        <w:footnoteRef/>
      </w:r>
      <w:r w:rsidRPr="00F208A4">
        <w:rPr>
          <w:lang w:val="ro-RO"/>
        </w:rPr>
        <w:t xml:space="preserve"> http://www.amnesty.md/events/</w:t>
      </w:r>
    </w:p>
  </w:footnote>
  <w:footnote w:id="26">
    <w:p w:rsidR="00A44A5B" w:rsidRPr="00011822" w:rsidRDefault="00A44A5B" w:rsidP="00A44A5B">
      <w:pPr>
        <w:pStyle w:val="FootnoteText"/>
        <w:rPr>
          <w:lang w:val="ro-RO"/>
        </w:rPr>
      </w:pPr>
      <w:r>
        <w:rPr>
          <w:rStyle w:val="FootnoteReference"/>
        </w:rPr>
        <w:footnoteRef/>
      </w:r>
      <w:r w:rsidRPr="00011822">
        <w:rPr>
          <w:lang w:val="ro-RO"/>
        </w:rPr>
        <w:t xml:space="preserve"> http://humanrightsembassy.org/index.php?option=com_content&amp;view=article&amp;id=51&amp;Itemid=56&amp;lang=ro</w:t>
      </w:r>
    </w:p>
  </w:footnote>
  <w:footnote w:id="27">
    <w:p w:rsidR="00A44A5B" w:rsidRPr="00011822" w:rsidRDefault="00A44A5B" w:rsidP="00A44A5B">
      <w:pPr>
        <w:pStyle w:val="FootnoteText"/>
        <w:rPr>
          <w:lang w:val="ro-RO"/>
        </w:rPr>
      </w:pPr>
      <w:r>
        <w:rPr>
          <w:rStyle w:val="FootnoteReference"/>
        </w:rPr>
        <w:footnoteRef/>
      </w:r>
      <w:r w:rsidRPr="00011822">
        <w:rPr>
          <w:lang w:val="ro-RO"/>
        </w:rPr>
        <w:t xml:space="preserve"> http://humanrightsembassy.org/index.php?option=com_content&amp;view=article&amp;id=156%3A-l-r&amp;catid=36%3A2011-12-19-22-17-02&amp;Itemid=66&amp;lang=ro</w:t>
      </w:r>
    </w:p>
  </w:footnote>
  <w:footnote w:id="28">
    <w:p w:rsidR="00A44A5B" w:rsidRPr="00367B3D" w:rsidRDefault="00A44A5B" w:rsidP="00A44A5B">
      <w:pPr>
        <w:pStyle w:val="FootnoteText"/>
        <w:rPr>
          <w:lang w:val="ro-RO"/>
        </w:rPr>
      </w:pPr>
      <w:r>
        <w:rPr>
          <w:rStyle w:val="FootnoteReference"/>
        </w:rPr>
        <w:footnoteRef/>
      </w:r>
      <w:r w:rsidRPr="00367B3D">
        <w:rPr>
          <w:lang w:val="ro-RO"/>
        </w:rPr>
        <w:t xml:space="preserve"> http://humanrightsembassy.org/index.php?option=com_content&amp;view=article&amp;id=66%3A2012-01-11-15-07-19&amp;catid=36%3A2011-12-19-22-17-02&amp;Itemid=66&amp;lang=ro</w:t>
      </w:r>
    </w:p>
  </w:footnote>
  <w:footnote w:id="29">
    <w:p w:rsidR="00A44A5B" w:rsidRPr="00566860" w:rsidRDefault="00A44A5B" w:rsidP="00A44A5B">
      <w:pPr>
        <w:pStyle w:val="FootnoteText"/>
        <w:rPr>
          <w:lang w:val="ro-RO"/>
        </w:rPr>
      </w:pPr>
      <w:r>
        <w:rPr>
          <w:rStyle w:val="FootnoteReference"/>
        </w:rPr>
        <w:footnoteRef/>
      </w:r>
      <w:r w:rsidRPr="00566860">
        <w:rPr>
          <w:lang w:val="ro-RO"/>
        </w:rPr>
        <w:t xml:space="preserve"> http://humanrightsembassy.org/index.php?option=com_content&amp;view=article&amp;id=126%3A-l-r&amp;catid=41%3A2011-12-19-22-17-43&amp;Itemid=73&amp;lang=ro</w:t>
      </w:r>
    </w:p>
  </w:footnote>
  <w:footnote w:id="30">
    <w:p w:rsidR="00A44A5B" w:rsidRPr="00566860" w:rsidRDefault="00A44A5B" w:rsidP="00A44A5B">
      <w:pPr>
        <w:pStyle w:val="FootnoteText"/>
        <w:rPr>
          <w:lang w:val="ro-RO"/>
        </w:rPr>
      </w:pPr>
      <w:r>
        <w:rPr>
          <w:rStyle w:val="FootnoteReference"/>
        </w:rPr>
        <w:footnoteRef/>
      </w:r>
      <w:r w:rsidRPr="00566860">
        <w:rPr>
          <w:lang w:val="ro-RO"/>
        </w:rPr>
        <w:t xml:space="preserve"> http://stoptorture.humanrightsembassy.org/index.php?option=com_content&amp;view=article&amp;id=177%3A2013-07-24-15-55-29&amp;catid=55%3A2013-03-28-22-05-00&amp;Itemid=59&amp;lang=ro</w:t>
      </w:r>
    </w:p>
  </w:footnote>
  <w:footnote w:id="31">
    <w:p w:rsidR="00A44A5B" w:rsidRPr="00130905" w:rsidRDefault="00A44A5B" w:rsidP="00A44A5B">
      <w:pPr>
        <w:pStyle w:val="FootnoteText"/>
        <w:rPr>
          <w:lang w:val="ro-RO"/>
        </w:rPr>
      </w:pPr>
      <w:r>
        <w:rPr>
          <w:rStyle w:val="FootnoteReference"/>
        </w:rPr>
        <w:footnoteRef/>
      </w:r>
      <w:r w:rsidRPr="00130905">
        <w:rPr>
          <w:lang w:val="ro-RO"/>
        </w:rPr>
        <w:t xml:space="preserve"> http://www.soros.md/page/1938</w:t>
      </w:r>
    </w:p>
  </w:footnote>
  <w:footnote w:id="32">
    <w:p w:rsidR="00A44A5B" w:rsidRPr="00A94D9F" w:rsidRDefault="00A44A5B" w:rsidP="00A44A5B">
      <w:pPr>
        <w:pStyle w:val="cb"/>
        <w:jc w:val="left"/>
        <w:rPr>
          <w:b w:val="0"/>
          <w:sz w:val="20"/>
          <w:szCs w:val="20"/>
          <w:lang w:val="ro-MD"/>
        </w:rPr>
      </w:pPr>
      <w:r w:rsidRPr="00A94D9F">
        <w:rPr>
          <w:rStyle w:val="FootnoteReference"/>
          <w:b w:val="0"/>
          <w:sz w:val="20"/>
          <w:szCs w:val="20"/>
        </w:rPr>
        <w:footnoteRef/>
      </w:r>
      <w:r w:rsidRPr="00A94D9F">
        <w:rPr>
          <w:lang w:val="ro-RO"/>
        </w:rPr>
        <w:t xml:space="preserve"> </w:t>
      </w:r>
      <w:r w:rsidRPr="00A94D9F">
        <w:rPr>
          <w:b w:val="0"/>
          <w:sz w:val="20"/>
          <w:szCs w:val="20"/>
          <w:lang w:val="ro-MD"/>
        </w:rPr>
        <w:t xml:space="preserve">Regulamentul de activitate al avocaţilor publici, aprobat prin Hotărârea CNAJGS nr. 18 din 06.10.2008, pct. 4; </w:t>
      </w:r>
    </w:p>
  </w:footnote>
  <w:footnote w:id="33">
    <w:p w:rsidR="00A44A5B" w:rsidRPr="00A94D9F" w:rsidRDefault="00A44A5B" w:rsidP="00A44A5B">
      <w:pPr>
        <w:pStyle w:val="FootnoteText"/>
        <w:rPr>
          <w:lang w:val="ro-RO"/>
        </w:rPr>
      </w:pPr>
      <w:r>
        <w:rPr>
          <w:rStyle w:val="FootnoteReference"/>
        </w:rPr>
        <w:footnoteRef/>
      </w:r>
      <w:r w:rsidRPr="00A94D9F">
        <w:rPr>
          <w:lang w:val="ro-RO"/>
        </w:rPr>
        <w:t xml:space="preserve"> </w:t>
      </w:r>
      <w:r>
        <w:rPr>
          <w:lang w:val="ro-RO"/>
        </w:rPr>
        <w:t xml:space="preserve">Manualul Avocaţilor publici, </w:t>
      </w:r>
      <w:r w:rsidRPr="00A94D9F">
        <w:rPr>
          <w:lang w:val="ro-RO"/>
        </w:rPr>
        <w:t>http://www.avocatii-publici.md/pagini/rom/12/</w:t>
      </w:r>
    </w:p>
  </w:footnote>
  <w:footnote w:id="34">
    <w:p w:rsidR="00A44A5B" w:rsidRPr="00B63185" w:rsidRDefault="00A44A5B" w:rsidP="00A44A5B">
      <w:pPr>
        <w:pStyle w:val="FootnoteText"/>
        <w:rPr>
          <w:lang w:val="ro-RO"/>
        </w:rPr>
      </w:pPr>
      <w:r>
        <w:rPr>
          <w:rStyle w:val="FootnoteReference"/>
        </w:rPr>
        <w:footnoteRef/>
      </w:r>
      <w:r w:rsidRPr="00B63185">
        <w:rPr>
          <w:lang w:val="ro-RO"/>
        </w:rPr>
        <w:t xml:space="preserve"> http://avocatul.md/news/training-pentru-avocati-inclusiv-pentru-avocati-stagiari-si-alti-juristi-44222</w:t>
      </w:r>
    </w:p>
  </w:footnote>
  <w:footnote w:id="35">
    <w:p w:rsidR="00A44A5B" w:rsidRPr="0013272A" w:rsidRDefault="00A44A5B" w:rsidP="00A44A5B">
      <w:pPr>
        <w:pStyle w:val="FootnoteText"/>
        <w:rPr>
          <w:lang w:val="ro-RO"/>
        </w:rPr>
      </w:pPr>
      <w:r>
        <w:rPr>
          <w:rStyle w:val="FootnoteReference"/>
        </w:rPr>
        <w:footnoteRef/>
      </w:r>
      <w:r w:rsidRPr="0013272A">
        <w:rPr>
          <w:lang w:val="ro-RO"/>
        </w:rPr>
        <w:t xml:space="preserve"> http://avocatul.md/news/baza-de-date-a-avocatilor</w:t>
      </w:r>
    </w:p>
  </w:footnote>
  <w:footnote w:id="36">
    <w:p w:rsidR="00A44A5B" w:rsidRPr="0044501E" w:rsidRDefault="00A44A5B" w:rsidP="00A44A5B">
      <w:pPr>
        <w:pStyle w:val="FootnoteText"/>
        <w:rPr>
          <w:lang w:val="ro-RO"/>
        </w:rPr>
      </w:pPr>
      <w:r>
        <w:rPr>
          <w:rStyle w:val="FootnoteReference"/>
        </w:rPr>
        <w:footnoteRef/>
      </w:r>
      <w:r w:rsidRPr="0044501E">
        <w:rPr>
          <w:lang w:val="ro-RO"/>
        </w:rPr>
        <w:t xml:space="preserve"> http://cido.org.md/index.php?option=com_content&amp;view=section&amp;layout=blog&amp;id=11&amp;Itemid=15&amp;lang=ro</w:t>
      </w:r>
    </w:p>
  </w:footnote>
  <w:footnote w:id="37">
    <w:p w:rsidR="00A44A5B" w:rsidRPr="001D348E" w:rsidRDefault="00A44A5B" w:rsidP="00A44A5B">
      <w:pPr>
        <w:pStyle w:val="FootnoteText"/>
        <w:rPr>
          <w:lang w:val="ro-RO"/>
        </w:rPr>
      </w:pPr>
      <w:r>
        <w:rPr>
          <w:rStyle w:val="FootnoteReference"/>
        </w:rPr>
        <w:footnoteRef/>
      </w:r>
      <w:r w:rsidRPr="001D348E">
        <w:rPr>
          <w:lang w:val="ro-RO"/>
        </w:rPr>
        <w:t xml:space="preserve"> http://cido.org.md/index.php?option=com_content&amp;view=article&amp;id=81%3Aanunt-curs-in-drepturile-omului&amp;catid=10%3Acido-general&amp;Itemid=16&amp;lang=ro</w:t>
      </w:r>
    </w:p>
  </w:footnote>
  <w:footnote w:id="38">
    <w:p w:rsidR="00A44A5B" w:rsidRPr="007B72F2" w:rsidRDefault="00A44A5B" w:rsidP="00A44A5B">
      <w:pPr>
        <w:pStyle w:val="FootnoteText"/>
        <w:rPr>
          <w:lang w:val="ro-RO"/>
        </w:rPr>
      </w:pPr>
      <w:r>
        <w:rPr>
          <w:rStyle w:val="FootnoteReference"/>
        </w:rPr>
        <w:footnoteRef/>
      </w:r>
      <w:r w:rsidRPr="007B72F2">
        <w:rPr>
          <w:lang w:val="ro-RO"/>
        </w:rPr>
        <w:t xml:space="preserve"> http://nediscriminare.md/index.php?module=static&amp;item_id=1</w:t>
      </w:r>
    </w:p>
  </w:footnote>
  <w:footnote w:id="39">
    <w:p w:rsidR="00A44A5B" w:rsidRPr="00D273BB" w:rsidRDefault="00A44A5B" w:rsidP="00A44A5B">
      <w:pPr>
        <w:pStyle w:val="FootnoteText"/>
        <w:rPr>
          <w:lang w:val="ro-RO"/>
        </w:rPr>
      </w:pPr>
      <w:r>
        <w:rPr>
          <w:rStyle w:val="FootnoteReference"/>
        </w:rPr>
        <w:footnoteRef/>
      </w:r>
      <w:r w:rsidRPr="00D273BB">
        <w:rPr>
          <w:lang w:val="ro-RO"/>
        </w:rPr>
        <w:t xml:space="preserve"> http://nediscriminare.md/index.php?module=news&amp;item_id=267</w:t>
      </w:r>
    </w:p>
  </w:footnote>
  <w:footnote w:id="40">
    <w:p w:rsidR="00A44A5B" w:rsidRPr="00477756" w:rsidRDefault="00A44A5B" w:rsidP="00A44A5B">
      <w:pPr>
        <w:pStyle w:val="FootnoteText"/>
        <w:rPr>
          <w:lang w:val="ro-RO"/>
        </w:rPr>
      </w:pPr>
      <w:r>
        <w:rPr>
          <w:rStyle w:val="FootnoteReference"/>
        </w:rPr>
        <w:footnoteRef/>
      </w:r>
      <w:r w:rsidRPr="00477756">
        <w:rPr>
          <w:lang w:val="ro-RO"/>
        </w:rPr>
        <w:t xml:space="preserve"> http://nediscriminare.md/index.php?module=news&amp;item_id=243</w:t>
      </w:r>
    </w:p>
  </w:footnote>
  <w:footnote w:id="41">
    <w:p w:rsidR="00A44A5B" w:rsidRPr="00477756" w:rsidRDefault="00A44A5B" w:rsidP="00A44A5B">
      <w:pPr>
        <w:pStyle w:val="FootnoteText"/>
        <w:rPr>
          <w:lang w:val="ro-RO"/>
        </w:rPr>
      </w:pPr>
      <w:r>
        <w:rPr>
          <w:rStyle w:val="FootnoteReference"/>
        </w:rPr>
        <w:footnoteRef/>
      </w:r>
      <w:r w:rsidRPr="00477756">
        <w:rPr>
          <w:lang w:val="ro-RO"/>
        </w:rPr>
        <w:t xml:space="preserve"> http://nediscriminare.md/index.php?module=news&amp;item_id=242</w:t>
      </w:r>
    </w:p>
  </w:footnote>
  <w:footnote w:id="42">
    <w:p w:rsidR="00A44A5B" w:rsidRPr="00E85DFD" w:rsidRDefault="00A44A5B" w:rsidP="00A44A5B">
      <w:pPr>
        <w:pStyle w:val="FootnoteText"/>
        <w:rPr>
          <w:lang w:val="ro-RO"/>
        </w:rPr>
      </w:pPr>
      <w:r>
        <w:rPr>
          <w:rStyle w:val="FootnoteReference"/>
        </w:rPr>
        <w:footnoteRef/>
      </w:r>
      <w:r w:rsidRPr="00E85DFD">
        <w:rPr>
          <w:lang w:val="ro-RO"/>
        </w:rPr>
        <w:t xml:space="preserve"> http://avocatul.md/news/cursul-de-instruire-discriminarea-si-egalitatea</w:t>
      </w:r>
    </w:p>
  </w:footnote>
  <w:footnote w:id="43">
    <w:p w:rsidR="00A44A5B" w:rsidRPr="00663495" w:rsidRDefault="00A44A5B" w:rsidP="00A44A5B">
      <w:pPr>
        <w:pStyle w:val="FootnoteText"/>
      </w:pPr>
      <w:r>
        <w:rPr>
          <w:rStyle w:val="FootnoteReference"/>
        </w:rPr>
        <w:footnoteRef/>
      </w:r>
      <w:r>
        <w:t xml:space="preserve"> Pe parcursul anilor 2010-2013.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964"/>
      </v:shape>
    </w:pict>
  </w:numPicBullet>
  <w:abstractNum w:abstractNumId="0">
    <w:nsid w:val="014B3DF4"/>
    <w:multiLevelType w:val="hybridMultilevel"/>
    <w:tmpl w:val="F3C8C320"/>
    <w:lvl w:ilvl="0" w:tplc="2C9EF752">
      <w:start w:val="6"/>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88E6093"/>
    <w:multiLevelType w:val="hybridMultilevel"/>
    <w:tmpl w:val="0A3E71AE"/>
    <w:lvl w:ilvl="0" w:tplc="ED601F2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A9D671B"/>
    <w:multiLevelType w:val="hybridMultilevel"/>
    <w:tmpl w:val="A1D26CD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1C2FA1"/>
    <w:multiLevelType w:val="hybridMultilevel"/>
    <w:tmpl w:val="8B1062AC"/>
    <w:lvl w:ilvl="0" w:tplc="B7EC63DC">
      <w:start w:val="1"/>
      <w:numFmt w:val="lowerLetter"/>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83D64"/>
    <w:multiLevelType w:val="multilevel"/>
    <w:tmpl w:val="B912904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3D80B02"/>
    <w:multiLevelType w:val="hybridMultilevel"/>
    <w:tmpl w:val="E452BC78"/>
    <w:lvl w:ilvl="0" w:tplc="FCC60412">
      <w:start w:val="1"/>
      <w:numFmt w:val="bullet"/>
      <w:lvlText w:val=""/>
      <w:lvlJc w:val="left"/>
      <w:pPr>
        <w:tabs>
          <w:tab w:val="num" w:pos="720"/>
        </w:tabs>
        <w:ind w:left="720" w:hanging="360"/>
      </w:pPr>
      <w:rPr>
        <w:rFonts w:ascii="Symbol" w:hAnsi="Symbol" w:hint="default"/>
        <w:color w:val="auto"/>
      </w:rPr>
    </w:lvl>
    <w:lvl w:ilvl="1" w:tplc="04190007">
      <w:start w:val="1"/>
      <w:numFmt w:val="bullet"/>
      <w:lvlText w:val=""/>
      <w:lvlPicBulletId w:val="0"/>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F14395"/>
    <w:multiLevelType w:val="hybridMultilevel"/>
    <w:tmpl w:val="5FD4B7DE"/>
    <w:lvl w:ilvl="0" w:tplc="B096DFB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D16C99"/>
    <w:multiLevelType w:val="hybridMultilevel"/>
    <w:tmpl w:val="610C61BA"/>
    <w:lvl w:ilvl="0" w:tplc="E320E492">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70C36D3"/>
    <w:multiLevelType w:val="hybridMultilevel"/>
    <w:tmpl w:val="13D06F14"/>
    <w:lvl w:ilvl="0" w:tplc="F1BC6A72">
      <w:start w:val="1"/>
      <w:numFmt w:val="low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4E7867"/>
    <w:multiLevelType w:val="hybridMultilevel"/>
    <w:tmpl w:val="9D22BECC"/>
    <w:lvl w:ilvl="0" w:tplc="04190007">
      <w:start w:val="1"/>
      <w:numFmt w:val="bullet"/>
      <w:lvlText w:val=""/>
      <w:lvlPicBulletId w:val="0"/>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30306271"/>
    <w:multiLevelType w:val="hybridMultilevel"/>
    <w:tmpl w:val="79D0A6BE"/>
    <w:lvl w:ilvl="0" w:tplc="CF326658">
      <w:start w:val="1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12B00E9"/>
    <w:multiLevelType w:val="hybridMultilevel"/>
    <w:tmpl w:val="46742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4F22A9"/>
    <w:multiLevelType w:val="hybridMultilevel"/>
    <w:tmpl w:val="D69E0B0E"/>
    <w:lvl w:ilvl="0" w:tplc="2C9EF752">
      <w:start w:val="6"/>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DF70F6"/>
    <w:multiLevelType w:val="hybridMultilevel"/>
    <w:tmpl w:val="8EC0BE9C"/>
    <w:lvl w:ilvl="0" w:tplc="558679E4">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9670EC"/>
    <w:multiLevelType w:val="hybridMultilevel"/>
    <w:tmpl w:val="124403F0"/>
    <w:lvl w:ilvl="0" w:tplc="1B54D16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9F0626C"/>
    <w:multiLevelType w:val="hybridMultilevel"/>
    <w:tmpl w:val="43EAF54E"/>
    <w:lvl w:ilvl="0" w:tplc="2C9EF752">
      <w:start w:val="6"/>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3AA344BF"/>
    <w:multiLevelType w:val="hybridMultilevel"/>
    <w:tmpl w:val="3BD23AB6"/>
    <w:lvl w:ilvl="0" w:tplc="AD2AD77E">
      <w:start w:val="1"/>
      <w:numFmt w:val="lowerLetter"/>
      <w:lvlText w:val="%1)"/>
      <w:lvlJc w:val="left"/>
      <w:pPr>
        <w:tabs>
          <w:tab w:val="num" w:pos="1080"/>
        </w:tabs>
        <w:ind w:left="1080" w:hanging="360"/>
      </w:pPr>
      <w:rPr>
        <w:i w:val="0"/>
        <w:i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3FF445B6"/>
    <w:multiLevelType w:val="multilevel"/>
    <w:tmpl w:val="42BC97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479187B"/>
    <w:multiLevelType w:val="hybridMultilevel"/>
    <w:tmpl w:val="275A0A9E"/>
    <w:lvl w:ilvl="0" w:tplc="4AE0CA0A">
      <w:start w:val="1"/>
      <w:numFmt w:val="decimal"/>
      <w:lvlText w:val="%1."/>
      <w:lvlJc w:val="left"/>
      <w:pPr>
        <w:tabs>
          <w:tab w:val="num" w:pos="720"/>
        </w:tabs>
        <w:ind w:left="720" w:hanging="360"/>
      </w:pPr>
      <w:rPr>
        <w:rFonts w:hint="default"/>
        <w:b/>
      </w:rPr>
    </w:lvl>
    <w:lvl w:ilvl="1" w:tplc="A8A087D2">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8562A5"/>
    <w:multiLevelType w:val="hybridMultilevel"/>
    <w:tmpl w:val="16D400DE"/>
    <w:lvl w:ilvl="0" w:tplc="60088F4E">
      <w:start w:val="6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96647E"/>
    <w:multiLevelType w:val="hybridMultilevel"/>
    <w:tmpl w:val="7BE69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B57FD"/>
    <w:multiLevelType w:val="hybridMultilevel"/>
    <w:tmpl w:val="B3EA8680"/>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B886BBA"/>
    <w:multiLevelType w:val="hybridMultilevel"/>
    <w:tmpl w:val="59EE6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6B4ECB"/>
    <w:multiLevelType w:val="hybridMultilevel"/>
    <w:tmpl w:val="A0CAD72C"/>
    <w:lvl w:ilvl="0" w:tplc="19BA3C6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6EA09B8"/>
    <w:multiLevelType w:val="hybridMultilevel"/>
    <w:tmpl w:val="931C104A"/>
    <w:lvl w:ilvl="0" w:tplc="BF444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A2579"/>
    <w:multiLevelType w:val="hybridMultilevel"/>
    <w:tmpl w:val="9DBA5868"/>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17049C"/>
    <w:multiLevelType w:val="hybridMultilevel"/>
    <w:tmpl w:val="2084CA4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15B2A70"/>
    <w:multiLevelType w:val="hybridMultilevel"/>
    <w:tmpl w:val="7BE69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7A4769"/>
    <w:multiLevelType w:val="hybridMultilevel"/>
    <w:tmpl w:val="CCE63E26"/>
    <w:lvl w:ilvl="0" w:tplc="2C9EF752">
      <w:start w:val="6"/>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9">
    <w:nsid w:val="6A576474"/>
    <w:multiLevelType w:val="hybridMultilevel"/>
    <w:tmpl w:val="1F509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E004A"/>
    <w:multiLevelType w:val="hybridMultilevel"/>
    <w:tmpl w:val="F6C6A5B4"/>
    <w:lvl w:ilvl="0" w:tplc="718CA4CE">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653B5F"/>
    <w:multiLevelType w:val="hybridMultilevel"/>
    <w:tmpl w:val="BEEA9130"/>
    <w:lvl w:ilvl="0" w:tplc="4672F9DE">
      <w:start w:val="1"/>
      <w:numFmt w:val="decimal"/>
      <w:lvlText w:val="%1."/>
      <w:lvlJc w:val="left"/>
      <w:pPr>
        <w:tabs>
          <w:tab w:val="num" w:pos="420"/>
        </w:tabs>
        <w:ind w:left="420" w:hanging="360"/>
      </w:pPr>
      <w:rPr>
        <w:rFonts w:cs="Times New Roman"/>
      </w:rPr>
    </w:lvl>
    <w:lvl w:ilvl="1" w:tplc="04190019">
      <w:start w:val="1"/>
      <w:numFmt w:val="lowerLetter"/>
      <w:lvlText w:val="%2."/>
      <w:lvlJc w:val="left"/>
      <w:pPr>
        <w:tabs>
          <w:tab w:val="num" w:pos="1140"/>
        </w:tabs>
        <w:ind w:left="11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98E1A9C"/>
    <w:multiLevelType w:val="hybridMultilevel"/>
    <w:tmpl w:val="BC6047CE"/>
    <w:lvl w:ilvl="0" w:tplc="05B680C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C21B4B"/>
    <w:multiLevelType w:val="hybridMultilevel"/>
    <w:tmpl w:val="14D4796E"/>
    <w:lvl w:ilvl="0" w:tplc="F1BC6A72">
      <w:start w:val="1"/>
      <w:numFmt w:val="lowerLetter"/>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23"/>
  </w:num>
  <w:num w:numId="5">
    <w:abstractNumId w:val="32"/>
  </w:num>
  <w:num w:numId="6">
    <w:abstractNumId w:val="4"/>
  </w:num>
  <w:num w:numId="7">
    <w:abstractNumId w:val="18"/>
  </w:num>
  <w:num w:numId="8">
    <w:abstractNumId w:val="30"/>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2"/>
  </w:num>
  <w:num w:numId="12">
    <w:abstractNumId w:val="3"/>
  </w:num>
  <w:num w:numId="13">
    <w:abstractNumId w:val="27"/>
  </w:num>
  <w:num w:numId="14">
    <w:abstractNumId w:val="20"/>
  </w:num>
  <w:num w:numId="15">
    <w:abstractNumId w:val="28"/>
  </w:num>
  <w:num w:numId="16">
    <w:abstractNumId w:val="33"/>
  </w:num>
  <w:num w:numId="17">
    <w:abstractNumId w:val="8"/>
  </w:num>
  <w:num w:numId="18">
    <w:abstractNumId w:val="7"/>
  </w:num>
  <w:num w:numId="19">
    <w:abstractNumId w:val="29"/>
  </w:num>
  <w:num w:numId="20">
    <w:abstractNumId w:val="11"/>
  </w:num>
  <w:num w:numId="21">
    <w:abstractNumId w:val="12"/>
  </w:num>
  <w:num w:numId="22">
    <w:abstractNumId w:val="16"/>
  </w:num>
  <w:num w:numId="23">
    <w:abstractNumId w:val="15"/>
  </w:num>
  <w:num w:numId="24">
    <w:abstractNumId w:val="0"/>
  </w:num>
  <w:num w:numId="25">
    <w:abstractNumId w:val="5"/>
  </w:num>
  <w:num w:numId="26">
    <w:abstractNumId w:val="13"/>
  </w:num>
  <w:num w:numId="27">
    <w:abstractNumId w:val="6"/>
  </w:num>
  <w:num w:numId="28">
    <w:abstractNumId w:val="2"/>
  </w:num>
  <w:num w:numId="29">
    <w:abstractNumId w:val="21"/>
  </w:num>
  <w:num w:numId="30">
    <w:abstractNumId w:val="25"/>
  </w:num>
  <w:num w:numId="31">
    <w:abstractNumId w:val="9"/>
  </w:num>
  <w:num w:numId="32">
    <w:abstractNumId w:val="26"/>
  </w:num>
  <w:num w:numId="33">
    <w:abstractNumId w:val="19"/>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87C64"/>
    <w:rsid w:val="0000345D"/>
    <w:rsid w:val="00004C10"/>
    <w:rsid w:val="0000528B"/>
    <w:rsid w:val="00005FC7"/>
    <w:rsid w:val="00006E94"/>
    <w:rsid w:val="00014E80"/>
    <w:rsid w:val="0001579F"/>
    <w:rsid w:val="0001610B"/>
    <w:rsid w:val="00017E65"/>
    <w:rsid w:val="000207BF"/>
    <w:rsid w:val="00024D4D"/>
    <w:rsid w:val="00031067"/>
    <w:rsid w:val="00031AC0"/>
    <w:rsid w:val="00034767"/>
    <w:rsid w:val="00034C13"/>
    <w:rsid w:val="00035410"/>
    <w:rsid w:val="000370FF"/>
    <w:rsid w:val="000374FD"/>
    <w:rsid w:val="000425F2"/>
    <w:rsid w:val="000453D5"/>
    <w:rsid w:val="00047CE5"/>
    <w:rsid w:val="00047E07"/>
    <w:rsid w:val="00050D68"/>
    <w:rsid w:val="00053764"/>
    <w:rsid w:val="00056CDF"/>
    <w:rsid w:val="00060BB0"/>
    <w:rsid w:val="00062D0F"/>
    <w:rsid w:val="00064AEC"/>
    <w:rsid w:val="00064C84"/>
    <w:rsid w:val="00065FA0"/>
    <w:rsid w:val="00070DD4"/>
    <w:rsid w:val="00071186"/>
    <w:rsid w:val="000731CB"/>
    <w:rsid w:val="00074926"/>
    <w:rsid w:val="000812B6"/>
    <w:rsid w:val="000829BC"/>
    <w:rsid w:val="000833D4"/>
    <w:rsid w:val="00084ECB"/>
    <w:rsid w:val="00085907"/>
    <w:rsid w:val="00086666"/>
    <w:rsid w:val="00090C48"/>
    <w:rsid w:val="00090E93"/>
    <w:rsid w:val="00096970"/>
    <w:rsid w:val="00096DA5"/>
    <w:rsid w:val="000A4740"/>
    <w:rsid w:val="000A7A56"/>
    <w:rsid w:val="000B2FBD"/>
    <w:rsid w:val="000B4F87"/>
    <w:rsid w:val="000B502E"/>
    <w:rsid w:val="000B6B51"/>
    <w:rsid w:val="000B6C65"/>
    <w:rsid w:val="000C0C6F"/>
    <w:rsid w:val="000C4603"/>
    <w:rsid w:val="000C53D0"/>
    <w:rsid w:val="000C65FA"/>
    <w:rsid w:val="000C77B9"/>
    <w:rsid w:val="000D06A6"/>
    <w:rsid w:val="000D2C7D"/>
    <w:rsid w:val="000D6EBE"/>
    <w:rsid w:val="000E1749"/>
    <w:rsid w:val="000E7F29"/>
    <w:rsid w:val="000F4877"/>
    <w:rsid w:val="00106EFF"/>
    <w:rsid w:val="001073E0"/>
    <w:rsid w:val="001135E5"/>
    <w:rsid w:val="00113D6F"/>
    <w:rsid w:val="00115611"/>
    <w:rsid w:val="00116DA3"/>
    <w:rsid w:val="00122F70"/>
    <w:rsid w:val="00127F58"/>
    <w:rsid w:val="00131111"/>
    <w:rsid w:val="0013290F"/>
    <w:rsid w:val="00133748"/>
    <w:rsid w:val="001376F7"/>
    <w:rsid w:val="0014018B"/>
    <w:rsid w:val="00142AC6"/>
    <w:rsid w:val="00144717"/>
    <w:rsid w:val="00147E0C"/>
    <w:rsid w:val="00150C61"/>
    <w:rsid w:val="001546A0"/>
    <w:rsid w:val="00155501"/>
    <w:rsid w:val="00155C35"/>
    <w:rsid w:val="00160493"/>
    <w:rsid w:val="00160632"/>
    <w:rsid w:val="00162246"/>
    <w:rsid w:val="00162C9C"/>
    <w:rsid w:val="00164610"/>
    <w:rsid w:val="00165303"/>
    <w:rsid w:val="001654C8"/>
    <w:rsid w:val="00165833"/>
    <w:rsid w:val="001674B4"/>
    <w:rsid w:val="00167768"/>
    <w:rsid w:val="001709B9"/>
    <w:rsid w:val="001717D0"/>
    <w:rsid w:val="00171B36"/>
    <w:rsid w:val="00172324"/>
    <w:rsid w:val="00180362"/>
    <w:rsid w:val="00180371"/>
    <w:rsid w:val="001807D8"/>
    <w:rsid w:val="00181D44"/>
    <w:rsid w:val="001844EB"/>
    <w:rsid w:val="001857EF"/>
    <w:rsid w:val="00195F92"/>
    <w:rsid w:val="001A22D8"/>
    <w:rsid w:val="001A2436"/>
    <w:rsid w:val="001A5209"/>
    <w:rsid w:val="001A57C0"/>
    <w:rsid w:val="001A5B29"/>
    <w:rsid w:val="001A5BE7"/>
    <w:rsid w:val="001B339D"/>
    <w:rsid w:val="001B3C86"/>
    <w:rsid w:val="001C03AB"/>
    <w:rsid w:val="001C3FF1"/>
    <w:rsid w:val="001C60E2"/>
    <w:rsid w:val="001C63EC"/>
    <w:rsid w:val="001D2487"/>
    <w:rsid w:val="001D3DC7"/>
    <w:rsid w:val="001E1076"/>
    <w:rsid w:val="001E233F"/>
    <w:rsid w:val="001F0BA4"/>
    <w:rsid w:val="001F32E5"/>
    <w:rsid w:val="001F4396"/>
    <w:rsid w:val="001F7064"/>
    <w:rsid w:val="0020379C"/>
    <w:rsid w:val="00203B21"/>
    <w:rsid w:val="002050F6"/>
    <w:rsid w:val="0021201E"/>
    <w:rsid w:val="002132DD"/>
    <w:rsid w:val="002152FD"/>
    <w:rsid w:val="00217A30"/>
    <w:rsid w:val="00220D7A"/>
    <w:rsid w:val="00222F2E"/>
    <w:rsid w:val="002231CE"/>
    <w:rsid w:val="002232A3"/>
    <w:rsid w:val="002306D3"/>
    <w:rsid w:val="00230B4C"/>
    <w:rsid w:val="002349C2"/>
    <w:rsid w:val="00240818"/>
    <w:rsid w:val="00241BB3"/>
    <w:rsid w:val="0024227B"/>
    <w:rsid w:val="00245C90"/>
    <w:rsid w:val="0024788A"/>
    <w:rsid w:val="00253FC6"/>
    <w:rsid w:val="00257AC9"/>
    <w:rsid w:val="00257C14"/>
    <w:rsid w:val="0026112C"/>
    <w:rsid w:val="00262DC3"/>
    <w:rsid w:val="002635ED"/>
    <w:rsid w:val="00263DC6"/>
    <w:rsid w:val="00263DDB"/>
    <w:rsid w:val="00263FD8"/>
    <w:rsid w:val="00265015"/>
    <w:rsid w:val="0026562B"/>
    <w:rsid w:val="00266901"/>
    <w:rsid w:val="002709E6"/>
    <w:rsid w:val="00271606"/>
    <w:rsid w:val="00271ED9"/>
    <w:rsid w:val="00275081"/>
    <w:rsid w:val="00283599"/>
    <w:rsid w:val="002850DB"/>
    <w:rsid w:val="002860BD"/>
    <w:rsid w:val="002878E7"/>
    <w:rsid w:val="002920A2"/>
    <w:rsid w:val="0029398D"/>
    <w:rsid w:val="002949DB"/>
    <w:rsid w:val="002965F7"/>
    <w:rsid w:val="002A1B07"/>
    <w:rsid w:val="002A1BC7"/>
    <w:rsid w:val="002A6CF3"/>
    <w:rsid w:val="002B0A43"/>
    <w:rsid w:val="002B147F"/>
    <w:rsid w:val="002B4D52"/>
    <w:rsid w:val="002B7B8F"/>
    <w:rsid w:val="002C023C"/>
    <w:rsid w:val="002C0356"/>
    <w:rsid w:val="002C617F"/>
    <w:rsid w:val="002D6524"/>
    <w:rsid w:val="002D7E9F"/>
    <w:rsid w:val="002E020F"/>
    <w:rsid w:val="002E14E4"/>
    <w:rsid w:val="002E5936"/>
    <w:rsid w:val="002F23FA"/>
    <w:rsid w:val="003015FC"/>
    <w:rsid w:val="003025D7"/>
    <w:rsid w:val="003025F6"/>
    <w:rsid w:val="0030462B"/>
    <w:rsid w:val="00306011"/>
    <w:rsid w:val="00306038"/>
    <w:rsid w:val="00306EC4"/>
    <w:rsid w:val="00310510"/>
    <w:rsid w:val="00311C86"/>
    <w:rsid w:val="0031209F"/>
    <w:rsid w:val="0031754E"/>
    <w:rsid w:val="00322BB4"/>
    <w:rsid w:val="00323999"/>
    <w:rsid w:val="00330ED8"/>
    <w:rsid w:val="00331F96"/>
    <w:rsid w:val="00332AF3"/>
    <w:rsid w:val="00333793"/>
    <w:rsid w:val="00336A30"/>
    <w:rsid w:val="00340CDA"/>
    <w:rsid w:val="0034326A"/>
    <w:rsid w:val="00344922"/>
    <w:rsid w:val="00344C83"/>
    <w:rsid w:val="00344D39"/>
    <w:rsid w:val="00362AB2"/>
    <w:rsid w:val="00362B71"/>
    <w:rsid w:val="0036318D"/>
    <w:rsid w:val="00375056"/>
    <w:rsid w:val="0037513F"/>
    <w:rsid w:val="003767BB"/>
    <w:rsid w:val="00384007"/>
    <w:rsid w:val="00384377"/>
    <w:rsid w:val="00386F39"/>
    <w:rsid w:val="00387F59"/>
    <w:rsid w:val="00390BAC"/>
    <w:rsid w:val="00391FC8"/>
    <w:rsid w:val="00392096"/>
    <w:rsid w:val="003A1B9F"/>
    <w:rsid w:val="003A29FA"/>
    <w:rsid w:val="003A4ED0"/>
    <w:rsid w:val="003B0C54"/>
    <w:rsid w:val="003B3163"/>
    <w:rsid w:val="003B4350"/>
    <w:rsid w:val="003B47D1"/>
    <w:rsid w:val="003B76E4"/>
    <w:rsid w:val="003C52B2"/>
    <w:rsid w:val="003D0A18"/>
    <w:rsid w:val="003D4037"/>
    <w:rsid w:val="003D45CA"/>
    <w:rsid w:val="003D4C04"/>
    <w:rsid w:val="003D544E"/>
    <w:rsid w:val="003D7F89"/>
    <w:rsid w:val="003E2DA7"/>
    <w:rsid w:val="003E4A7F"/>
    <w:rsid w:val="003F0110"/>
    <w:rsid w:val="003F095C"/>
    <w:rsid w:val="003F2C87"/>
    <w:rsid w:val="003F56CF"/>
    <w:rsid w:val="003F5BF1"/>
    <w:rsid w:val="003F6211"/>
    <w:rsid w:val="003F6986"/>
    <w:rsid w:val="004014C9"/>
    <w:rsid w:val="004017A6"/>
    <w:rsid w:val="0040225A"/>
    <w:rsid w:val="004022FB"/>
    <w:rsid w:val="00402CF9"/>
    <w:rsid w:val="004031BB"/>
    <w:rsid w:val="004033FF"/>
    <w:rsid w:val="00405016"/>
    <w:rsid w:val="00406F9F"/>
    <w:rsid w:val="00407A3E"/>
    <w:rsid w:val="00407A55"/>
    <w:rsid w:val="00414717"/>
    <w:rsid w:val="00421693"/>
    <w:rsid w:val="004229FC"/>
    <w:rsid w:val="00422BD9"/>
    <w:rsid w:val="00431EBA"/>
    <w:rsid w:val="00432463"/>
    <w:rsid w:val="00433F25"/>
    <w:rsid w:val="00436E24"/>
    <w:rsid w:val="00437865"/>
    <w:rsid w:val="004436F6"/>
    <w:rsid w:val="00443771"/>
    <w:rsid w:val="00444F80"/>
    <w:rsid w:val="0044520B"/>
    <w:rsid w:val="00445A7F"/>
    <w:rsid w:val="00451AD7"/>
    <w:rsid w:val="00453209"/>
    <w:rsid w:val="0045731B"/>
    <w:rsid w:val="004603DB"/>
    <w:rsid w:val="00464994"/>
    <w:rsid w:val="004650DC"/>
    <w:rsid w:val="00467F91"/>
    <w:rsid w:val="00471898"/>
    <w:rsid w:val="0047270E"/>
    <w:rsid w:val="00474B1A"/>
    <w:rsid w:val="0047503E"/>
    <w:rsid w:val="0047518A"/>
    <w:rsid w:val="00480A15"/>
    <w:rsid w:val="00485401"/>
    <w:rsid w:val="00485B10"/>
    <w:rsid w:val="00486F02"/>
    <w:rsid w:val="004874A4"/>
    <w:rsid w:val="00491A40"/>
    <w:rsid w:val="0049604F"/>
    <w:rsid w:val="004A083C"/>
    <w:rsid w:val="004A0CB5"/>
    <w:rsid w:val="004A0E4C"/>
    <w:rsid w:val="004A6183"/>
    <w:rsid w:val="004A7032"/>
    <w:rsid w:val="004B4546"/>
    <w:rsid w:val="004B564E"/>
    <w:rsid w:val="004B62E1"/>
    <w:rsid w:val="004C01CF"/>
    <w:rsid w:val="004C0F87"/>
    <w:rsid w:val="004C16AD"/>
    <w:rsid w:val="004C1C12"/>
    <w:rsid w:val="004C6037"/>
    <w:rsid w:val="004C6E66"/>
    <w:rsid w:val="004D197F"/>
    <w:rsid w:val="004D237B"/>
    <w:rsid w:val="004D321A"/>
    <w:rsid w:val="004D71D7"/>
    <w:rsid w:val="004E0498"/>
    <w:rsid w:val="004E0681"/>
    <w:rsid w:val="004E1776"/>
    <w:rsid w:val="004E3D64"/>
    <w:rsid w:val="004E486E"/>
    <w:rsid w:val="004E5C77"/>
    <w:rsid w:val="004E5F18"/>
    <w:rsid w:val="004E6791"/>
    <w:rsid w:val="004E73E6"/>
    <w:rsid w:val="005009D1"/>
    <w:rsid w:val="005010B7"/>
    <w:rsid w:val="00501943"/>
    <w:rsid w:val="00501EFE"/>
    <w:rsid w:val="00502D8B"/>
    <w:rsid w:val="00503695"/>
    <w:rsid w:val="005068B3"/>
    <w:rsid w:val="005127F0"/>
    <w:rsid w:val="00514E1F"/>
    <w:rsid w:val="005222F3"/>
    <w:rsid w:val="005226C9"/>
    <w:rsid w:val="00524942"/>
    <w:rsid w:val="0052519B"/>
    <w:rsid w:val="005332A2"/>
    <w:rsid w:val="00533C61"/>
    <w:rsid w:val="00537B06"/>
    <w:rsid w:val="00541CD2"/>
    <w:rsid w:val="00543ACE"/>
    <w:rsid w:val="00543BDE"/>
    <w:rsid w:val="00544C22"/>
    <w:rsid w:val="00545A03"/>
    <w:rsid w:val="00547B05"/>
    <w:rsid w:val="00551A54"/>
    <w:rsid w:val="005542A3"/>
    <w:rsid w:val="00560AF9"/>
    <w:rsid w:val="00561D79"/>
    <w:rsid w:val="00561F77"/>
    <w:rsid w:val="0056270B"/>
    <w:rsid w:val="00562A65"/>
    <w:rsid w:val="00562EB5"/>
    <w:rsid w:val="00564275"/>
    <w:rsid w:val="0056678D"/>
    <w:rsid w:val="00567F0F"/>
    <w:rsid w:val="005721A9"/>
    <w:rsid w:val="005740EB"/>
    <w:rsid w:val="00574361"/>
    <w:rsid w:val="00575AC7"/>
    <w:rsid w:val="0057656D"/>
    <w:rsid w:val="005816CA"/>
    <w:rsid w:val="0058406E"/>
    <w:rsid w:val="005874A1"/>
    <w:rsid w:val="00592122"/>
    <w:rsid w:val="005924EC"/>
    <w:rsid w:val="00594BEA"/>
    <w:rsid w:val="0059662D"/>
    <w:rsid w:val="005A198B"/>
    <w:rsid w:val="005A317B"/>
    <w:rsid w:val="005A357B"/>
    <w:rsid w:val="005A4666"/>
    <w:rsid w:val="005B706D"/>
    <w:rsid w:val="005C19DC"/>
    <w:rsid w:val="005C234F"/>
    <w:rsid w:val="005C423A"/>
    <w:rsid w:val="005C5907"/>
    <w:rsid w:val="005D5F07"/>
    <w:rsid w:val="005D679A"/>
    <w:rsid w:val="005D76B8"/>
    <w:rsid w:val="005E08BF"/>
    <w:rsid w:val="005E0E26"/>
    <w:rsid w:val="005E1CF9"/>
    <w:rsid w:val="005E2A11"/>
    <w:rsid w:val="005E496D"/>
    <w:rsid w:val="005E5BFF"/>
    <w:rsid w:val="005E7BDF"/>
    <w:rsid w:val="005F0070"/>
    <w:rsid w:val="005F043B"/>
    <w:rsid w:val="005F1DC8"/>
    <w:rsid w:val="005F2C9C"/>
    <w:rsid w:val="00600007"/>
    <w:rsid w:val="006015B9"/>
    <w:rsid w:val="00601E6D"/>
    <w:rsid w:val="00604EFF"/>
    <w:rsid w:val="00605F7D"/>
    <w:rsid w:val="00606853"/>
    <w:rsid w:val="006134BF"/>
    <w:rsid w:val="00617DF6"/>
    <w:rsid w:val="006217D7"/>
    <w:rsid w:val="00625AF3"/>
    <w:rsid w:val="00630B8B"/>
    <w:rsid w:val="00630C7D"/>
    <w:rsid w:val="00631A55"/>
    <w:rsid w:val="00634C4E"/>
    <w:rsid w:val="00634DE8"/>
    <w:rsid w:val="006354B5"/>
    <w:rsid w:val="006422F9"/>
    <w:rsid w:val="00642B8C"/>
    <w:rsid w:val="00644DDE"/>
    <w:rsid w:val="00646693"/>
    <w:rsid w:val="00654556"/>
    <w:rsid w:val="00660D82"/>
    <w:rsid w:val="00662AD7"/>
    <w:rsid w:val="006640D0"/>
    <w:rsid w:val="00670C0D"/>
    <w:rsid w:val="0067458A"/>
    <w:rsid w:val="006749BB"/>
    <w:rsid w:val="00674E87"/>
    <w:rsid w:val="00675B5F"/>
    <w:rsid w:val="00675D06"/>
    <w:rsid w:val="00680FAF"/>
    <w:rsid w:val="00681F67"/>
    <w:rsid w:val="00697FED"/>
    <w:rsid w:val="006A6BA3"/>
    <w:rsid w:val="006A7850"/>
    <w:rsid w:val="006A7EC4"/>
    <w:rsid w:val="006B0308"/>
    <w:rsid w:val="006B1E5E"/>
    <w:rsid w:val="006B21AB"/>
    <w:rsid w:val="006B28B6"/>
    <w:rsid w:val="006C629A"/>
    <w:rsid w:val="006D2A8C"/>
    <w:rsid w:val="006E322C"/>
    <w:rsid w:val="006E75D0"/>
    <w:rsid w:val="006E7742"/>
    <w:rsid w:val="006F03D5"/>
    <w:rsid w:val="006F05B6"/>
    <w:rsid w:val="006F0E42"/>
    <w:rsid w:val="006F69C2"/>
    <w:rsid w:val="006F7D3F"/>
    <w:rsid w:val="0070015E"/>
    <w:rsid w:val="00705B40"/>
    <w:rsid w:val="007130C8"/>
    <w:rsid w:val="007138CA"/>
    <w:rsid w:val="007268E6"/>
    <w:rsid w:val="00727476"/>
    <w:rsid w:val="0073579F"/>
    <w:rsid w:val="0074026E"/>
    <w:rsid w:val="0074031D"/>
    <w:rsid w:val="007405BF"/>
    <w:rsid w:val="007408F3"/>
    <w:rsid w:val="007414EB"/>
    <w:rsid w:val="007437CE"/>
    <w:rsid w:val="00745A49"/>
    <w:rsid w:val="007468DC"/>
    <w:rsid w:val="00747D5B"/>
    <w:rsid w:val="00750A05"/>
    <w:rsid w:val="00753DAB"/>
    <w:rsid w:val="00762993"/>
    <w:rsid w:val="007636C4"/>
    <w:rsid w:val="007654A4"/>
    <w:rsid w:val="00770EBD"/>
    <w:rsid w:val="00772540"/>
    <w:rsid w:val="00773D43"/>
    <w:rsid w:val="007833EC"/>
    <w:rsid w:val="00784429"/>
    <w:rsid w:val="007855C9"/>
    <w:rsid w:val="007872CD"/>
    <w:rsid w:val="00793AB8"/>
    <w:rsid w:val="007941DB"/>
    <w:rsid w:val="00797FC4"/>
    <w:rsid w:val="007A1464"/>
    <w:rsid w:val="007A340C"/>
    <w:rsid w:val="007A7D74"/>
    <w:rsid w:val="007A7FF3"/>
    <w:rsid w:val="007C46A6"/>
    <w:rsid w:val="007C7654"/>
    <w:rsid w:val="007D127B"/>
    <w:rsid w:val="007D13E9"/>
    <w:rsid w:val="007D1B06"/>
    <w:rsid w:val="007D1B99"/>
    <w:rsid w:val="007D24FE"/>
    <w:rsid w:val="007D2E69"/>
    <w:rsid w:val="007D6B27"/>
    <w:rsid w:val="007E03CF"/>
    <w:rsid w:val="007E3D11"/>
    <w:rsid w:val="007F0033"/>
    <w:rsid w:val="007F1347"/>
    <w:rsid w:val="007F1CC7"/>
    <w:rsid w:val="007F44C7"/>
    <w:rsid w:val="007F661F"/>
    <w:rsid w:val="007F6FDD"/>
    <w:rsid w:val="0080296B"/>
    <w:rsid w:val="008034E7"/>
    <w:rsid w:val="0080418E"/>
    <w:rsid w:val="0080659E"/>
    <w:rsid w:val="008104E9"/>
    <w:rsid w:val="00810F14"/>
    <w:rsid w:val="00814746"/>
    <w:rsid w:val="008201D1"/>
    <w:rsid w:val="00824A69"/>
    <w:rsid w:val="008251ED"/>
    <w:rsid w:val="00830618"/>
    <w:rsid w:val="00835D31"/>
    <w:rsid w:val="00836C90"/>
    <w:rsid w:val="00846FFA"/>
    <w:rsid w:val="00847058"/>
    <w:rsid w:val="00851130"/>
    <w:rsid w:val="00854792"/>
    <w:rsid w:val="00860EDE"/>
    <w:rsid w:val="00860F58"/>
    <w:rsid w:val="00861C1A"/>
    <w:rsid w:val="00862624"/>
    <w:rsid w:val="0086283B"/>
    <w:rsid w:val="00867CBC"/>
    <w:rsid w:val="0087182B"/>
    <w:rsid w:val="008776D3"/>
    <w:rsid w:val="008776F5"/>
    <w:rsid w:val="00880F98"/>
    <w:rsid w:val="00882745"/>
    <w:rsid w:val="008861D1"/>
    <w:rsid w:val="008903C3"/>
    <w:rsid w:val="0089159E"/>
    <w:rsid w:val="00891CB9"/>
    <w:rsid w:val="0089253F"/>
    <w:rsid w:val="008954FB"/>
    <w:rsid w:val="00897F28"/>
    <w:rsid w:val="008A2AE0"/>
    <w:rsid w:val="008A5AEB"/>
    <w:rsid w:val="008A6BE7"/>
    <w:rsid w:val="008A7812"/>
    <w:rsid w:val="008B04A1"/>
    <w:rsid w:val="008B225C"/>
    <w:rsid w:val="008B246E"/>
    <w:rsid w:val="008B67AC"/>
    <w:rsid w:val="008C7CAD"/>
    <w:rsid w:val="008D1C5E"/>
    <w:rsid w:val="008D3673"/>
    <w:rsid w:val="008D5E8C"/>
    <w:rsid w:val="008D61ED"/>
    <w:rsid w:val="008E0B0A"/>
    <w:rsid w:val="008E1728"/>
    <w:rsid w:val="008E548B"/>
    <w:rsid w:val="008E6F43"/>
    <w:rsid w:val="008F16FF"/>
    <w:rsid w:val="008F2075"/>
    <w:rsid w:val="008F28C2"/>
    <w:rsid w:val="008F2D91"/>
    <w:rsid w:val="008F63D6"/>
    <w:rsid w:val="00900DDC"/>
    <w:rsid w:val="009024EC"/>
    <w:rsid w:val="009029EF"/>
    <w:rsid w:val="00903422"/>
    <w:rsid w:val="00905370"/>
    <w:rsid w:val="0091191E"/>
    <w:rsid w:val="00915457"/>
    <w:rsid w:val="009235BC"/>
    <w:rsid w:val="00923A29"/>
    <w:rsid w:val="00927E53"/>
    <w:rsid w:val="009337A2"/>
    <w:rsid w:val="00936CAB"/>
    <w:rsid w:val="00940D06"/>
    <w:rsid w:val="00944C04"/>
    <w:rsid w:val="00945AC6"/>
    <w:rsid w:val="00950E06"/>
    <w:rsid w:val="00951530"/>
    <w:rsid w:val="00951E67"/>
    <w:rsid w:val="009609E5"/>
    <w:rsid w:val="00961915"/>
    <w:rsid w:val="00964FA2"/>
    <w:rsid w:val="00965890"/>
    <w:rsid w:val="00974013"/>
    <w:rsid w:val="00975DD5"/>
    <w:rsid w:val="009761F3"/>
    <w:rsid w:val="00980482"/>
    <w:rsid w:val="009813FF"/>
    <w:rsid w:val="009819AE"/>
    <w:rsid w:val="00982593"/>
    <w:rsid w:val="00983A53"/>
    <w:rsid w:val="00983D51"/>
    <w:rsid w:val="00987C64"/>
    <w:rsid w:val="00991661"/>
    <w:rsid w:val="009917E7"/>
    <w:rsid w:val="00997E46"/>
    <w:rsid w:val="009A3861"/>
    <w:rsid w:val="009A3F91"/>
    <w:rsid w:val="009A5953"/>
    <w:rsid w:val="009A7B9E"/>
    <w:rsid w:val="009B035F"/>
    <w:rsid w:val="009B14F3"/>
    <w:rsid w:val="009C3A64"/>
    <w:rsid w:val="009C474B"/>
    <w:rsid w:val="009C57FD"/>
    <w:rsid w:val="009C73AA"/>
    <w:rsid w:val="009C74E9"/>
    <w:rsid w:val="009C7AC0"/>
    <w:rsid w:val="009D0597"/>
    <w:rsid w:val="009D0D99"/>
    <w:rsid w:val="009D129C"/>
    <w:rsid w:val="009D1B28"/>
    <w:rsid w:val="009D1F5C"/>
    <w:rsid w:val="009E2507"/>
    <w:rsid w:val="009E6172"/>
    <w:rsid w:val="009F0466"/>
    <w:rsid w:val="009F1042"/>
    <w:rsid w:val="009F2048"/>
    <w:rsid w:val="00A071E6"/>
    <w:rsid w:val="00A07271"/>
    <w:rsid w:val="00A11436"/>
    <w:rsid w:val="00A13349"/>
    <w:rsid w:val="00A13671"/>
    <w:rsid w:val="00A2253E"/>
    <w:rsid w:val="00A247E0"/>
    <w:rsid w:val="00A26A70"/>
    <w:rsid w:val="00A312D1"/>
    <w:rsid w:val="00A33F82"/>
    <w:rsid w:val="00A35DC6"/>
    <w:rsid w:val="00A365E4"/>
    <w:rsid w:val="00A37E6D"/>
    <w:rsid w:val="00A40AF0"/>
    <w:rsid w:val="00A4195A"/>
    <w:rsid w:val="00A449B8"/>
    <w:rsid w:val="00A44A5B"/>
    <w:rsid w:val="00A467CC"/>
    <w:rsid w:val="00A47729"/>
    <w:rsid w:val="00A53C90"/>
    <w:rsid w:val="00A55940"/>
    <w:rsid w:val="00A55BCD"/>
    <w:rsid w:val="00A56FC0"/>
    <w:rsid w:val="00A65443"/>
    <w:rsid w:val="00A65BD8"/>
    <w:rsid w:val="00A66949"/>
    <w:rsid w:val="00A67E24"/>
    <w:rsid w:val="00A70FFE"/>
    <w:rsid w:val="00A71238"/>
    <w:rsid w:val="00A74A15"/>
    <w:rsid w:val="00A7592B"/>
    <w:rsid w:val="00A82B4D"/>
    <w:rsid w:val="00A86A98"/>
    <w:rsid w:val="00A9000D"/>
    <w:rsid w:val="00A92DF7"/>
    <w:rsid w:val="00A93DE4"/>
    <w:rsid w:val="00A958DC"/>
    <w:rsid w:val="00AA65DF"/>
    <w:rsid w:val="00AB01B1"/>
    <w:rsid w:val="00AB7534"/>
    <w:rsid w:val="00AC0A57"/>
    <w:rsid w:val="00AC2F02"/>
    <w:rsid w:val="00AC3B99"/>
    <w:rsid w:val="00AC41FB"/>
    <w:rsid w:val="00AC5269"/>
    <w:rsid w:val="00AC5E4D"/>
    <w:rsid w:val="00AD024D"/>
    <w:rsid w:val="00AD0465"/>
    <w:rsid w:val="00AD1FA3"/>
    <w:rsid w:val="00AD2C13"/>
    <w:rsid w:val="00AD490E"/>
    <w:rsid w:val="00AD7DBB"/>
    <w:rsid w:val="00AE3A69"/>
    <w:rsid w:val="00AF331E"/>
    <w:rsid w:val="00AF3F47"/>
    <w:rsid w:val="00AF4A2A"/>
    <w:rsid w:val="00AF70A4"/>
    <w:rsid w:val="00AF761B"/>
    <w:rsid w:val="00B074B3"/>
    <w:rsid w:val="00B173A3"/>
    <w:rsid w:val="00B201FD"/>
    <w:rsid w:val="00B257FD"/>
    <w:rsid w:val="00B305C3"/>
    <w:rsid w:val="00B30DD4"/>
    <w:rsid w:val="00B31F81"/>
    <w:rsid w:val="00B47E3E"/>
    <w:rsid w:val="00B50867"/>
    <w:rsid w:val="00B5367B"/>
    <w:rsid w:val="00B542B3"/>
    <w:rsid w:val="00B55BE8"/>
    <w:rsid w:val="00B5680D"/>
    <w:rsid w:val="00B56E8F"/>
    <w:rsid w:val="00B61C75"/>
    <w:rsid w:val="00B630C0"/>
    <w:rsid w:val="00B64BA9"/>
    <w:rsid w:val="00B7051B"/>
    <w:rsid w:val="00B70B0C"/>
    <w:rsid w:val="00B73A9C"/>
    <w:rsid w:val="00B75C31"/>
    <w:rsid w:val="00B8075D"/>
    <w:rsid w:val="00B812A0"/>
    <w:rsid w:val="00B84753"/>
    <w:rsid w:val="00B8503F"/>
    <w:rsid w:val="00B86147"/>
    <w:rsid w:val="00B86289"/>
    <w:rsid w:val="00B9163C"/>
    <w:rsid w:val="00B91BCD"/>
    <w:rsid w:val="00B91C52"/>
    <w:rsid w:val="00B94B09"/>
    <w:rsid w:val="00B953D8"/>
    <w:rsid w:val="00B97311"/>
    <w:rsid w:val="00BA2C14"/>
    <w:rsid w:val="00BA58AC"/>
    <w:rsid w:val="00BB1128"/>
    <w:rsid w:val="00BB433E"/>
    <w:rsid w:val="00BB4747"/>
    <w:rsid w:val="00BC66F4"/>
    <w:rsid w:val="00BC68EA"/>
    <w:rsid w:val="00BC7AD4"/>
    <w:rsid w:val="00BD241B"/>
    <w:rsid w:val="00BE018E"/>
    <w:rsid w:val="00BE1759"/>
    <w:rsid w:val="00BE4AD1"/>
    <w:rsid w:val="00BF3B1B"/>
    <w:rsid w:val="00BF51DD"/>
    <w:rsid w:val="00BF62DA"/>
    <w:rsid w:val="00C00A76"/>
    <w:rsid w:val="00C01D24"/>
    <w:rsid w:val="00C05153"/>
    <w:rsid w:val="00C13933"/>
    <w:rsid w:val="00C155FE"/>
    <w:rsid w:val="00C206DE"/>
    <w:rsid w:val="00C213BE"/>
    <w:rsid w:val="00C22117"/>
    <w:rsid w:val="00C24346"/>
    <w:rsid w:val="00C32151"/>
    <w:rsid w:val="00C34126"/>
    <w:rsid w:val="00C43127"/>
    <w:rsid w:val="00C44D9A"/>
    <w:rsid w:val="00C504C5"/>
    <w:rsid w:val="00C524F9"/>
    <w:rsid w:val="00C5307C"/>
    <w:rsid w:val="00C531D4"/>
    <w:rsid w:val="00C57B6E"/>
    <w:rsid w:val="00C609EC"/>
    <w:rsid w:val="00C654AD"/>
    <w:rsid w:val="00C661FE"/>
    <w:rsid w:val="00C6732C"/>
    <w:rsid w:val="00C70BA5"/>
    <w:rsid w:val="00C73C03"/>
    <w:rsid w:val="00C75255"/>
    <w:rsid w:val="00C77E3D"/>
    <w:rsid w:val="00C80981"/>
    <w:rsid w:val="00C8138F"/>
    <w:rsid w:val="00C84168"/>
    <w:rsid w:val="00C863B9"/>
    <w:rsid w:val="00C86BB6"/>
    <w:rsid w:val="00C912CD"/>
    <w:rsid w:val="00C9265F"/>
    <w:rsid w:val="00C93BF8"/>
    <w:rsid w:val="00C97263"/>
    <w:rsid w:val="00C97D82"/>
    <w:rsid w:val="00CA08A4"/>
    <w:rsid w:val="00CA468C"/>
    <w:rsid w:val="00CA55C9"/>
    <w:rsid w:val="00CA6311"/>
    <w:rsid w:val="00CA69B3"/>
    <w:rsid w:val="00CB2AC4"/>
    <w:rsid w:val="00CB6E1D"/>
    <w:rsid w:val="00CC1CCE"/>
    <w:rsid w:val="00CC7542"/>
    <w:rsid w:val="00CD4EED"/>
    <w:rsid w:val="00CE0575"/>
    <w:rsid w:val="00CE3EBA"/>
    <w:rsid w:val="00CE60F3"/>
    <w:rsid w:val="00CF0B3C"/>
    <w:rsid w:val="00CF24D8"/>
    <w:rsid w:val="00CF41EE"/>
    <w:rsid w:val="00CF4210"/>
    <w:rsid w:val="00CF450E"/>
    <w:rsid w:val="00CF5AEF"/>
    <w:rsid w:val="00D01DB7"/>
    <w:rsid w:val="00D12067"/>
    <w:rsid w:val="00D1217A"/>
    <w:rsid w:val="00D12A30"/>
    <w:rsid w:val="00D1595A"/>
    <w:rsid w:val="00D161CD"/>
    <w:rsid w:val="00D175FA"/>
    <w:rsid w:val="00D17A8F"/>
    <w:rsid w:val="00D222CD"/>
    <w:rsid w:val="00D30C2F"/>
    <w:rsid w:val="00D40AD2"/>
    <w:rsid w:val="00D4270E"/>
    <w:rsid w:val="00D44206"/>
    <w:rsid w:val="00D44ECE"/>
    <w:rsid w:val="00D514B7"/>
    <w:rsid w:val="00D5492A"/>
    <w:rsid w:val="00D54E44"/>
    <w:rsid w:val="00D616B2"/>
    <w:rsid w:val="00D61F95"/>
    <w:rsid w:val="00D72B08"/>
    <w:rsid w:val="00D73DDD"/>
    <w:rsid w:val="00D76ABC"/>
    <w:rsid w:val="00D8408D"/>
    <w:rsid w:val="00D863FC"/>
    <w:rsid w:val="00D909FB"/>
    <w:rsid w:val="00D93226"/>
    <w:rsid w:val="00D95779"/>
    <w:rsid w:val="00D961B6"/>
    <w:rsid w:val="00D97B17"/>
    <w:rsid w:val="00DA1384"/>
    <w:rsid w:val="00DA3609"/>
    <w:rsid w:val="00DA5228"/>
    <w:rsid w:val="00DB5346"/>
    <w:rsid w:val="00DB5753"/>
    <w:rsid w:val="00DC0849"/>
    <w:rsid w:val="00DC0F79"/>
    <w:rsid w:val="00DC20FA"/>
    <w:rsid w:val="00DC6A89"/>
    <w:rsid w:val="00DC7A05"/>
    <w:rsid w:val="00DD070B"/>
    <w:rsid w:val="00DE1C8E"/>
    <w:rsid w:val="00DE27C2"/>
    <w:rsid w:val="00DE7F8F"/>
    <w:rsid w:val="00DF02B3"/>
    <w:rsid w:val="00DF3ABC"/>
    <w:rsid w:val="00DF52E6"/>
    <w:rsid w:val="00E00DE4"/>
    <w:rsid w:val="00E01922"/>
    <w:rsid w:val="00E051AC"/>
    <w:rsid w:val="00E071A0"/>
    <w:rsid w:val="00E10FCE"/>
    <w:rsid w:val="00E15B58"/>
    <w:rsid w:val="00E17E1F"/>
    <w:rsid w:val="00E2078F"/>
    <w:rsid w:val="00E22E3E"/>
    <w:rsid w:val="00E23AFC"/>
    <w:rsid w:val="00E23F0C"/>
    <w:rsid w:val="00E32375"/>
    <w:rsid w:val="00E32E19"/>
    <w:rsid w:val="00E36119"/>
    <w:rsid w:val="00E37313"/>
    <w:rsid w:val="00E40538"/>
    <w:rsid w:val="00E40B06"/>
    <w:rsid w:val="00E422BF"/>
    <w:rsid w:val="00E4753C"/>
    <w:rsid w:val="00E50AC9"/>
    <w:rsid w:val="00E5595E"/>
    <w:rsid w:val="00E61C32"/>
    <w:rsid w:val="00E62E1A"/>
    <w:rsid w:val="00E7006A"/>
    <w:rsid w:val="00E80127"/>
    <w:rsid w:val="00E81C0D"/>
    <w:rsid w:val="00E87933"/>
    <w:rsid w:val="00E919A5"/>
    <w:rsid w:val="00EA05C2"/>
    <w:rsid w:val="00EA4570"/>
    <w:rsid w:val="00EB055A"/>
    <w:rsid w:val="00EB0700"/>
    <w:rsid w:val="00EB1DA5"/>
    <w:rsid w:val="00EB21E1"/>
    <w:rsid w:val="00EB258A"/>
    <w:rsid w:val="00EB34DC"/>
    <w:rsid w:val="00EB6D00"/>
    <w:rsid w:val="00EC29A9"/>
    <w:rsid w:val="00ED2755"/>
    <w:rsid w:val="00ED33AE"/>
    <w:rsid w:val="00ED5D80"/>
    <w:rsid w:val="00EE12B9"/>
    <w:rsid w:val="00EE184A"/>
    <w:rsid w:val="00EF7146"/>
    <w:rsid w:val="00F0162E"/>
    <w:rsid w:val="00F05EBD"/>
    <w:rsid w:val="00F11873"/>
    <w:rsid w:val="00F15CB8"/>
    <w:rsid w:val="00F174B6"/>
    <w:rsid w:val="00F213A1"/>
    <w:rsid w:val="00F24B8C"/>
    <w:rsid w:val="00F24E7F"/>
    <w:rsid w:val="00F27388"/>
    <w:rsid w:val="00F354AB"/>
    <w:rsid w:val="00F3618D"/>
    <w:rsid w:val="00F4019E"/>
    <w:rsid w:val="00F42BB1"/>
    <w:rsid w:val="00F42BDB"/>
    <w:rsid w:val="00F45FB5"/>
    <w:rsid w:val="00F46618"/>
    <w:rsid w:val="00F47037"/>
    <w:rsid w:val="00F5073B"/>
    <w:rsid w:val="00F51A01"/>
    <w:rsid w:val="00F51F0F"/>
    <w:rsid w:val="00F53D6E"/>
    <w:rsid w:val="00F56FBF"/>
    <w:rsid w:val="00F60B07"/>
    <w:rsid w:val="00F618C3"/>
    <w:rsid w:val="00F701AA"/>
    <w:rsid w:val="00F70D01"/>
    <w:rsid w:val="00F71244"/>
    <w:rsid w:val="00F712DC"/>
    <w:rsid w:val="00F904EE"/>
    <w:rsid w:val="00F91870"/>
    <w:rsid w:val="00F976F3"/>
    <w:rsid w:val="00FA2796"/>
    <w:rsid w:val="00FA2E2A"/>
    <w:rsid w:val="00FA403B"/>
    <w:rsid w:val="00FA58C7"/>
    <w:rsid w:val="00FA6056"/>
    <w:rsid w:val="00FB0A38"/>
    <w:rsid w:val="00FB119A"/>
    <w:rsid w:val="00FB2195"/>
    <w:rsid w:val="00FB255A"/>
    <w:rsid w:val="00FB480D"/>
    <w:rsid w:val="00FC2F43"/>
    <w:rsid w:val="00FC5265"/>
    <w:rsid w:val="00FD024C"/>
    <w:rsid w:val="00FD4E9E"/>
    <w:rsid w:val="00FE0094"/>
    <w:rsid w:val="00FE11AB"/>
    <w:rsid w:val="00FE2FF9"/>
    <w:rsid w:val="00FF3D73"/>
    <w:rsid w:val="00FF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2E3C290-2943-4385-8ADF-6D3DE11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465"/>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1F0BA4"/>
    <w:pPr>
      <w:keepNext/>
      <w:keepLines/>
      <w:spacing w:before="240" w:line="276" w:lineRule="auto"/>
      <w:jc w:val="center"/>
      <w:outlineLvl w:val="0"/>
    </w:pPr>
    <w:rPr>
      <w:rFonts w:ascii="Book Antiqua" w:eastAsia="SimSun" w:hAnsi="Book Antiqua" w:cs="Book Antiqua"/>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9"/>
    <w:locked/>
    <w:rsid w:val="001F0BA4"/>
    <w:rPr>
      <w:rFonts w:ascii="Book Antiqua" w:eastAsia="SimSun" w:hAnsi="Book Antiqua" w:cs="Book Antiqua"/>
      <w:b/>
      <w:bCs/>
      <w:sz w:val="28"/>
      <w:szCs w:val="28"/>
    </w:rPr>
  </w:style>
  <w:style w:type="paragraph" w:customStyle="1" w:styleId="Default">
    <w:name w:val="Default"/>
    <w:uiPriority w:val="99"/>
    <w:rsid w:val="00987C64"/>
    <w:pPr>
      <w:autoSpaceDE w:val="0"/>
      <w:autoSpaceDN w:val="0"/>
      <w:adjustRightInd w:val="0"/>
    </w:pPr>
    <w:rPr>
      <w:rFonts w:ascii="Arial" w:hAnsi="Arial" w:cs="Arial"/>
      <w:color w:val="000000"/>
      <w:sz w:val="24"/>
      <w:szCs w:val="24"/>
    </w:rPr>
  </w:style>
  <w:style w:type="character" w:customStyle="1" w:styleId="s1">
    <w:name w:val="s1"/>
    <w:uiPriority w:val="99"/>
    <w:rsid w:val="00AD0465"/>
    <w:rPr>
      <w:rFonts w:ascii="Times New Roman" w:hAnsi="Times New Roman" w:cs="Times New Roman"/>
      <w:b/>
      <w:bCs/>
      <w:color w:val="000000"/>
      <w:sz w:val="28"/>
      <w:szCs w:val="28"/>
      <w:u w:val="none"/>
      <w:effect w:val="none"/>
    </w:rPr>
  </w:style>
  <w:style w:type="paragraph" w:styleId="NormalWeb">
    <w:name w:val="Normal (Web)"/>
    <w:basedOn w:val="Normal"/>
    <w:link w:val="NormalWebChar"/>
    <w:rsid w:val="009337A2"/>
    <w:pPr>
      <w:ind w:firstLine="567"/>
      <w:jc w:val="both"/>
    </w:pPr>
    <w:rPr>
      <w:rFonts w:eastAsia="Calibri"/>
      <w:szCs w:val="20"/>
      <w:lang w:val="ro-RO"/>
    </w:rPr>
  </w:style>
  <w:style w:type="paragraph" w:styleId="FootnoteText">
    <w:name w:val="footnote text"/>
    <w:basedOn w:val="Normal"/>
    <w:link w:val="FootnoteTextChar"/>
    <w:semiHidden/>
    <w:rsid w:val="001F0BA4"/>
    <w:pPr>
      <w:jc w:val="both"/>
    </w:pPr>
    <w:rPr>
      <w:rFonts w:eastAsia="Calibri"/>
      <w:sz w:val="20"/>
      <w:szCs w:val="20"/>
      <w:lang w:val="en-US" w:eastAsia="en-US"/>
    </w:rPr>
  </w:style>
  <w:style w:type="character" w:customStyle="1" w:styleId="FootnoteTextChar">
    <w:name w:val="Footnote Text Char"/>
    <w:link w:val="FootnoteText"/>
    <w:locked/>
    <w:rsid w:val="001F0BA4"/>
    <w:rPr>
      <w:rFonts w:ascii="Times New Roman" w:hAnsi="Times New Roman" w:cs="Times New Roman"/>
      <w:sz w:val="20"/>
      <w:szCs w:val="20"/>
    </w:rPr>
  </w:style>
  <w:style w:type="character" w:styleId="FootnoteReference">
    <w:name w:val="footnote reference"/>
    <w:semiHidden/>
    <w:rsid w:val="001F0BA4"/>
    <w:rPr>
      <w:rFonts w:cs="Times New Roman"/>
      <w:vertAlign w:val="superscript"/>
    </w:rPr>
  </w:style>
  <w:style w:type="character" w:customStyle="1" w:styleId="apple-style-span">
    <w:name w:val="apple-style-span"/>
    <w:uiPriority w:val="99"/>
    <w:rsid w:val="001F0BA4"/>
    <w:rPr>
      <w:rFonts w:cs="Times New Roman"/>
    </w:rPr>
  </w:style>
  <w:style w:type="paragraph" w:styleId="ListParagraph">
    <w:name w:val="List Paragraph"/>
    <w:basedOn w:val="Normal"/>
    <w:qFormat/>
    <w:rsid w:val="001F0BA4"/>
    <w:pPr>
      <w:spacing w:before="240" w:after="80" w:line="276" w:lineRule="auto"/>
      <w:ind w:left="720"/>
      <w:jc w:val="both"/>
    </w:pPr>
    <w:rPr>
      <w:rFonts w:eastAsia="Calibri"/>
      <w:sz w:val="22"/>
      <w:szCs w:val="22"/>
      <w:lang w:val="en-US" w:eastAsia="en-US"/>
    </w:rPr>
  </w:style>
  <w:style w:type="character" w:customStyle="1" w:styleId="apple-converted-space">
    <w:name w:val="apple-converted-space"/>
    <w:rsid w:val="008D3673"/>
    <w:rPr>
      <w:rFonts w:cs="Times New Roman"/>
    </w:rPr>
  </w:style>
  <w:style w:type="character" w:customStyle="1" w:styleId="NormalWebChar">
    <w:name w:val="Normal (Web) Char"/>
    <w:link w:val="NormalWeb"/>
    <w:uiPriority w:val="99"/>
    <w:locked/>
    <w:rsid w:val="00EB258A"/>
    <w:rPr>
      <w:rFonts w:ascii="Times New Roman" w:hAnsi="Times New Roman"/>
      <w:sz w:val="24"/>
      <w:lang w:val="ro-RO" w:eastAsia="ru-RU"/>
    </w:rPr>
  </w:style>
  <w:style w:type="paragraph" w:styleId="NoSpacing">
    <w:name w:val="No Spacing"/>
    <w:uiPriority w:val="99"/>
    <w:qFormat/>
    <w:rsid w:val="00A55BCD"/>
    <w:pPr>
      <w:jc w:val="both"/>
    </w:pPr>
    <w:rPr>
      <w:rFonts w:ascii="Times New Roman" w:eastAsia="Times New Roman" w:hAnsi="Times New Roman"/>
      <w:sz w:val="28"/>
      <w:szCs w:val="28"/>
      <w:lang w:val="ru-RU" w:eastAsia="ru-RU"/>
    </w:rPr>
  </w:style>
  <w:style w:type="paragraph" w:customStyle="1" w:styleId="JuPara">
    <w:name w:val="Ju_Para"/>
    <w:aliases w:val="Left,First line:  0 cm"/>
    <w:basedOn w:val="Normal"/>
    <w:link w:val="JuParaCar"/>
    <w:uiPriority w:val="99"/>
    <w:rsid w:val="00EA4570"/>
    <w:pPr>
      <w:suppressAutoHyphens/>
      <w:ind w:firstLine="284"/>
      <w:jc w:val="both"/>
    </w:pPr>
    <w:rPr>
      <w:lang w:val="en-GB" w:eastAsia="fr-FR"/>
    </w:rPr>
  </w:style>
  <w:style w:type="character" w:customStyle="1" w:styleId="JuParaCar">
    <w:name w:val="Ju_Para Car"/>
    <w:link w:val="JuPara"/>
    <w:uiPriority w:val="99"/>
    <w:locked/>
    <w:rsid w:val="00EA4570"/>
    <w:rPr>
      <w:rFonts w:ascii="Times New Roman" w:hAnsi="Times New Roman" w:cs="Times New Roman"/>
      <w:sz w:val="20"/>
      <w:szCs w:val="20"/>
      <w:lang w:val="en-GB" w:eastAsia="fr-FR"/>
    </w:rPr>
  </w:style>
  <w:style w:type="character" w:customStyle="1" w:styleId="JuParaChar">
    <w:name w:val="Ju_Para Char"/>
    <w:uiPriority w:val="99"/>
    <w:locked/>
    <w:rsid w:val="009A3F91"/>
    <w:rPr>
      <w:rFonts w:cs="Times New Roman"/>
      <w:sz w:val="24"/>
      <w:szCs w:val="24"/>
      <w:lang w:val="en-GB" w:eastAsia="fr-FR"/>
    </w:rPr>
  </w:style>
  <w:style w:type="paragraph" w:customStyle="1" w:styleId="JuCase">
    <w:name w:val="Ju_Case"/>
    <w:basedOn w:val="Normal"/>
    <w:next w:val="Normal"/>
    <w:uiPriority w:val="99"/>
    <w:rsid w:val="009D0597"/>
    <w:pPr>
      <w:suppressAutoHyphens/>
      <w:ind w:firstLine="284"/>
      <w:jc w:val="both"/>
    </w:pPr>
    <w:rPr>
      <w:b/>
      <w:bCs/>
      <w:lang w:val="en-GB" w:eastAsia="fr-FR"/>
    </w:rPr>
  </w:style>
  <w:style w:type="paragraph" w:styleId="Footer">
    <w:name w:val="footer"/>
    <w:basedOn w:val="Normal"/>
    <w:link w:val="FooterChar"/>
    <w:rsid w:val="00271606"/>
    <w:pPr>
      <w:tabs>
        <w:tab w:val="center" w:pos="4677"/>
        <w:tab w:val="right" w:pos="9355"/>
      </w:tabs>
    </w:pPr>
  </w:style>
  <w:style w:type="character" w:customStyle="1" w:styleId="FooterChar">
    <w:name w:val="Footer Char"/>
    <w:link w:val="Footer"/>
    <w:locked/>
    <w:rsid w:val="00940D06"/>
    <w:rPr>
      <w:rFonts w:ascii="Times New Roman" w:hAnsi="Times New Roman" w:cs="Times New Roman"/>
      <w:sz w:val="24"/>
      <w:szCs w:val="24"/>
    </w:rPr>
  </w:style>
  <w:style w:type="character" w:styleId="PageNumber">
    <w:name w:val="page number"/>
    <w:rsid w:val="00271606"/>
    <w:rPr>
      <w:rFonts w:cs="Times New Roman"/>
    </w:rPr>
  </w:style>
  <w:style w:type="paragraph" w:styleId="BalloonText">
    <w:name w:val="Balloon Text"/>
    <w:basedOn w:val="Normal"/>
    <w:link w:val="BalloonTextChar"/>
    <w:uiPriority w:val="99"/>
    <w:semiHidden/>
    <w:rsid w:val="00245C90"/>
    <w:rPr>
      <w:rFonts w:ascii="Tahoma" w:hAnsi="Tahoma" w:cs="Tahoma"/>
      <w:sz w:val="16"/>
      <w:szCs w:val="16"/>
    </w:rPr>
  </w:style>
  <w:style w:type="character" w:customStyle="1" w:styleId="BalloonTextChar">
    <w:name w:val="Balloon Text Char"/>
    <w:link w:val="BalloonText"/>
    <w:uiPriority w:val="99"/>
    <w:semiHidden/>
    <w:locked/>
    <w:rsid w:val="00940D06"/>
    <w:rPr>
      <w:rFonts w:ascii="Times New Roman" w:hAnsi="Times New Roman" w:cs="Times New Roman"/>
      <w:sz w:val="2"/>
      <w:szCs w:val="2"/>
    </w:rPr>
  </w:style>
  <w:style w:type="character" w:styleId="Hyperlink">
    <w:name w:val="Hyperlink"/>
    <w:rsid w:val="00115611"/>
    <w:rPr>
      <w:rFonts w:cs="Times New Roman"/>
      <w:color w:val="0000FF"/>
      <w:u w:val="single"/>
    </w:rPr>
  </w:style>
  <w:style w:type="paragraph" w:customStyle="1" w:styleId="cptmaintitle0">
    <w:name w:val="cptmaintitle0"/>
    <w:basedOn w:val="Normal"/>
    <w:uiPriority w:val="99"/>
    <w:rsid w:val="007941DB"/>
    <w:pPr>
      <w:ind w:left="1701"/>
    </w:pPr>
    <w:rPr>
      <w:rFonts w:ascii="Arial" w:eastAsia="Calibri" w:hAnsi="Arial" w:cs="Arial"/>
      <w:b/>
      <w:bCs/>
      <w:sz w:val="32"/>
      <w:szCs w:val="32"/>
    </w:rPr>
  </w:style>
  <w:style w:type="paragraph" w:customStyle="1" w:styleId="cb">
    <w:name w:val="cb"/>
    <w:basedOn w:val="Normal"/>
    <w:rsid w:val="005010B7"/>
    <w:pPr>
      <w:jc w:val="center"/>
    </w:pPr>
    <w:rPr>
      <w:rFonts w:eastAsia="Calibri"/>
      <w:b/>
      <w:bCs/>
      <w:lang w:val="en-US" w:eastAsia="en-US"/>
    </w:rPr>
  </w:style>
  <w:style w:type="character" w:styleId="Strong">
    <w:name w:val="Strong"/>
    <w:qFormat/>
    <w:locked/>
    <w:rsid w:val="005010B7"/>
    <w:rPr>
      <w:rFonts w:cs="Times New Roman"/>
      <w:b/>
      <w:bCs/>
    </w:rPr>
  </w:style>
  <w:style w:type="character" w:customStyle="1" w:styleId="docheader1">
    <w:name w:val="doc_header1"/>
    <w:uiPriority w:val="99"/>
    <w:rsid w:val="005010B7"/>
    <w:rPr>
      <w:rFonts w:ascii="Times New Roman" w:hAnsi="Times New Roman" w:cs="Times New Roman"/>
      <w:b/>
      <w:bCs/>
      <w:color w:val="000000"/>
      <w:sz w:val="24"/>
      <w:szCs w:val="24"/>
    </w:rPr>
  </w:style>
  <w:style w:type="paragraph" w:styleId="Header">
    <w:name w:val="header"/>
    <w:basedOn w:val="Normal"/>
    <w:link w:val="HeaderChar"/>
    <w:uiPriority w:val="99"/>
    <w:unhideWhenUsed/>
    <w:rsid w:val="00EE12B9"/>
    <w:pPr>
      <w:tabs>
        <w:tab w:val="center" w:pos="4844"/>
        <w:tab w:val="right" w:pos="9689"/>
      </w:tabs>
    </w:pPr>
  </w:style>
  <w:style w:type="character" w:customStyle="1" w:styleId="HeaderChar">
    <w:name w:val="Header Char"/>
    <w:link w:val="Header"/>
    <w:uiPriority w:val="99"/>
    <w:rsid w:val="00EE12B9"/>
    <w:rPr>
      <w:rFonts w:ascii="Times New Roman" w:eastAsia="Times New Roman" w:hAnsi="Times New Roman"/>
      <w:sz w:val="24"/>
      <w:szCs w:val="24"/>
      <w:lang w:val="ru-RU" w:eastAsia="ru-RU"/>
    </w:rPr>
  </w:style>
  <w:style w:type="character" w:customStyle="1" w:styleId="docbody">
    <w:name w:val="doc_body"/>
    <w:rsid w:val="003D7F89"/>
  </w:style>
  <w:style w:type="character" w:customStyle="1" w:styleId="hps">
    <w:name w:val="hps"/>
    <w:basedOn w:val="DefaultParagraphFont"/>
    <w:rsid w:val="00A44A5B"/>
  </w:style>
  <w:style w:type="character" w:styleId="Emphasis">
    <w:name w:val="Emphasis"/>
    <w:qFormat/>
    <w:locked/>
    <w:rsid w:val="00A44A5B"/>
    <w:rPr>
      <w:i/>
      <w:iCs/>
    </w:rPr>
  </w:style>
  <w:style w:type="character" w:customStyle="1" w:styleId="hpsatn">
    <w:name w:val="hps atn"/>
    <w:basedOn w:val="DefaultParagraphFont"/>
    <w:rsid w:val="00A44A5B"/>
  </w:style>
  <w:style w:type="character" w:customStyle="1" w:styleId="highlightselected">
    <w:name w:val="highlight selected"/>
    <w:basedOn w:val="DefaultParagraphFont"/>
    <w:rsid w:val="00A44A5B"/>
  </w:style>
  <w:style w:type="character" w:customStyle="1" w:styleId="atn">
    <w:name w:val="atn"/>
    <w:basedOn w:val="DefaultParagraphFont"/>
    <w:rsid w:val="00A44A5B"/>
  </w:style>
  <w:style w:type="table" w:styleId="TableGrid">
    <w:name w:val="Table Grid"/>
    <w:basedOn w:val="TableNormal"/>
    <w:locked/>
    <w:rsid w:val="00A44A5B"/>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A4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2038">
      <w:marLeft w:val="0"/>
      <w:marRight w:val="0"/>
      <w:marTop w:val="0"/>
      <w:marBottom w:val="0"/>
      <w:divBdr>
        <w:top w:val="none" w:sz="0" w:space="0" w:color="auto"/>
        <w:left w:val="none" w:sz="0" w:space="0" w:color="auto"/>
        <w:bottom w:val="none" w:sz="0" w:space="0" w:color="auto"/>
        <w:right w:val="none" w:sz="0" w:space="0" w:color="auto"/>
      </w:divBdr>
    </w:div>
    <w:div w:id="140462039">
      <w:marLeft w:val="0"/>
      <w:marRight w:val="0"/>
      <w:marTop w:val="0"/>
      <w:marBottom w:val="0"/>
      <w:divBdr>
        <w:top w:val="none" w:sz="0" w:space="0" w:color="auto"/>
        <w:left w:val="none" w:sz="0" w:space="0" w:color="auto"/>
        <w:bottom w:val="none" w:sz="0" w:space="0" w:color="auto"/>
        <w:right w:val="none" w:sz="0" w:space="0" w:color="auto"/>
      </w:divBdr>
    </w:div>
    <w:div w:id="140462040">
      <w:marLeft w:val="0"/>
      <w:marRight w:val="0"/>
      <w:marTop w:val="0"/>
      <w:marBottom w:val="0"/>
      <w:divBdr>
        <w:top w:val="none" w:sz="0" w:space="0" w:color="auto"/>
        <w:left w:val="none" w:sz="0" w:space="0" w:color="auto"/>
        <w:bottom w:val="none" w:sz="0" w:space="0" w:color="auto"/>
        <w:right w:val="none" w:sz="0" w:space="0" w:color="auto"/>
      </w:divBdr>
    </w:div>
    <w:div w:id="140462041">
      <w:marLeft w:val="0"/>
      <w:marRight w:val="0"/>
      <w:marTop w:val="0"/>
      <w:marBottom w:val="0"/>
      <w:divBdr>
        <w:top w:val="none" w:sz="0" w:space="0" w:color="auto"/>
        <w:left w:val="none" w:sz="0" w:space="0" w:color="auto"/>
        <w:bottom w:val="none" w:sz="0" w:space="0" w:color="auto"/>
        <w:right w:val="none" w:sz="0" w:space="0" w:color="auto"/>
      </w:divBdr>
    </w:div>
    <w:div w:id="140462042">
      <w:marLeft w:val="0"/>
      <w:marRight w:val="0"/>
      <w:marTop w:val="0"/>
      <w:marBottom w:val="0"/>
      <w:divBdr>
        <w:top w:val="none" w:sz="0" w:space="0" w:color="auto"/>
        <w:left w:val="none" w:sz="0" w:space="0" w:color="auto"/>
        <w:bottom w:val="none" w:sz="0" w:space="0" w:color="auto"/>
        <w:right w:val="none" w:sz="0" w:space="0" w:color="auto"/>
      </w:divBdr>
    </w:div>
    <w:div w:id="140462043">
      <w:marLeft w:val="0"/>
      <w:marRight w:val="0"/>
      <w:marTop w:val="0"/>
      <w:marBottom w:val="0"/>
      <w:divBdr>
        <w:top w:val="none" w:sz="0" w:space="0" w:color="auto"/>
        <w:left w:val="none" w:sz="0" w:space="0" w:color="auto"/>
        <w:bottom w:val="none" w:sz="0" w:space="0" w:color="auto"/>
        <w:right w:val="none" w:sz="0" w:space="0" w:color="auto"/>
      </w:divBdr>
    </w:div>
    <w:div w:id="140462044">
      <w:marLeft w:val="0"/>
      <w:marRight w:val="0"/>
      <w:marTop w:val="0"/>
      <w:marBottom w:val="0"/>
      <w:divBdr>
        <w:top w:val="none" w:sz="0" w:space="0" w:color="auto"/>
        <w:left w:val="none" w:sz="0" w:space="0" w:color="auto"/>
        <w:bottom w:val="none" w:sz="0" w:space="0" w:color="auto"/>
        <w:right w:val="none" w:sz="0" w:space="0" w:color="auto"/>
      </w:divBdr>
    </w:div>
    <w:div w:id="140462045">
      <w:marLeft w:val="0"/>
      <w:marRight w:val="0"/>
      <w:marTop w:val="0"/>
      <w:marBottom w:val="0"/>
      <w:divBdr>
        <w:top w:val="none" w:sz="0" w:space="0" w:color="auto"/>
        <w:left w:val="none" w:sz="0" w:space="0" w:color="auto"/>
        <w:bottom w:val="none" w:sz="0" w:space="0" w:color="auto"/>
        <w:right w:val="none" w:sz="0" w:space="0" w:color="auto"/>
      </w:divBdr>
    </w:div>
    <w:div w:id="140462046">
      <w:marLeft w:val="0"/>
      <w:marRight w:val="0"/>
      <w:marTop w:val="0"/>
      <w:marBottom w:val="0"/>
      <w:divBdr>
        <w:top w:val="none" w:sz="0" w:space="0" w:color="auto"/>
        <w:left w:val="none" w:sz="0" w:space="0" w:color="auto"/>
        <w:bottom w:val="none" w:sz="0" w:space="0" w:color="auto"/>
        <w:right w:val="none" w:sz="0" w:space="0" w:color="auto"/>
      </w:divBdr>
    </w:div>
    <w:div w:id="140462047">
      <w:marLeft w:val="0"/>
      <w:marRight w:val="0"/>
      <w:marTop w:val="0"/>
      <w:marBottom w:val="0"/>
      <w:divBdr>
        <w:top w:val="none" w:sz="0" w:space="0" w:color="auto"/>
        <w:left w:val="none" w:sz="0" w:space="0" w:color="auto"/>
        <w:bottom w:val="none" w:sz="0" w:space="0" w:color="auto"/>
        <w:right w:val="none" w:sz="0" w:space="0" w:color="auto"/>
      </w:divBdr>
    </w:div>
    <w:div w:id="140462048">
      <w:marLeft w:val="0"/>
      <w:marRight w:val="0"/>
      <w:marTop w:val="0"/>
      <w:marBottom w:val="0"/>
      <w:divBdr>
        <w:top w:val="none" w:sz="0" w:space="0" w:color="auto"/>
        <w:left w:val="none" w:sz="0" w:space="0" w:color="auto"/>
        <w:bottom w:val="none" w:sz="0" w:space="0" w:color="auto"/>
        <w:right w:val="none" w:sz="0" w:space="0" w:color="auto"/>
      </w:divBdr>
    </w:div>
    <w:div w:id="140462049">
      <w:marLeft w:val="0"/>
      <w:marRight w:val="0"/>
      <w:marTop w:val="0"/>
      <w:marBottom w:val="0"/>
      <w:divBdr>
        <w:top w:val="none" w:sz="0" w:space="0" w:color="auto"/>
        <w:left w:val="none" w:sz="0" w:space="0" w:color="auto"/>
        <w:bottom w:val="none" w:sz="0" w:space="0" w:color="auto"/>
        <w:right w:val="none" w:sz="0" w:space="0" w:color="auto"/>
      </w:divBdr>
    </w:div>
    <w:div w:id="140462050">
      <w:marLeft w:val="0"/>
      <w:marRight w:val="0"/>
      <w:marTop w:val="0"/>
      <w:marBottom w:val="0"/>
      <w:divBdr>
        <w:top w:val="none" w:sz="0" w:space="0" w:color="auto"/>
        <w:left w:val="none" w:sz="0" w:space="0" w:color="auto"/>
        <w:bottom w:val="none" w:sz="0" w:space="0" w:color="auto"/>
        <w:right w:val="none" w:sz="0" w:space="0" w:color="auto"/>
      </w:divBdr>
    </w:div>
    <w:div w:id="140462051">
      <w:marLeft w:val="0"/>
      <w:marRight w:val="0"/>
      <w:marTop w:val="0"/>
      <w:marBottom w:val="0"/>
      <w:divBdr>
        <w:top w:val="none" w:sz="0" w:space="0" w:color="auto"/>
        <w:left w:val="none" w:sz="0" w:space="0" w:color="auto"/>
        <w:bottom w:val="none" w:sz="0" w:space="0" w:color="auto"/>
        <w:right w:val="none" w:sz="0" w:space="0" w:color="auto"/>
      </w:divBdr>
    </w:div>
    <w:div w:id="140462052">
      <w:marLeft w:val="0"/>
      <w:marRight w:val="0"/>
      <w:marTop w:val="0"/>
      <w:marBottom w:val="0"/>
      <w:divBdr>
        <w:top w:val="none" w:sz="0" w:space="0" w:color="auto"/>
        <w:left w:val="none" w:sz="0" w:space="0" w:color="auto"/>
        <w:bottom w:val="none" w:sz="0" w:space="0" w:color="auto"/>
        <w:right w:val="none" w:sz="0" w:space="0" w:color="auto"/>
      </w:divBdr>
    </w:div>
    <w:div w:id="140462053">
      <w:marLeft w:val="0"/>
      <w:marRight w:val="0"/>
      <w:marTop w:val="0"/>
      <w:marBottom w:val="0"/>
      <w:divBdr>
        <w:top w:val="none" w:sz="0" w:space="0" w:color="auto"/>
        <w:left w:val="none" w:sz="0" w:space="0" w:color="auto"/>
        <w:bottom w:val="none" w:sz="0" w:space="0" w:color="auto"/>
        <w:right w:val="none" w:sz="0" w:space="0" w:color="auto"/>
      </w:divBdr>
    </w:div>
    <w:div w:id="140462054">
      <w:marLeft w:val="0"/>
      <w:marRight w:val="0"/>
      <w:marTop w:val="0"/>
      <w:marBottom w:val="0"/>
      <w:divBdr>
        <w:top w:val="none" w:sz="0" w:space="0" w:color="auto"/>
        <w:left w:val="none" w:sz="0" w:space="0" w:color="auto"/>
        <w:bottom w:val="none" w:sz="0" w:space="0" w:color="auto"/>
        <w:right w:val="none" w:sz="0" w:space="0" w:color="auto"/>
      </w:divBdr>
    </w:div>
    <w:div w:id="140462055">
      <w:marLeft w:val="0"/>
      <w:marRight w:val="0"/>
      <w:marTop w:val="0"/>
      <w:marBottom w:val="0"/>
      <w:divBdr>
        <w:top w:val="none" w:sz="0" w:space="0" w:color="auto"/>
        <w:left w:val="none" w:sz="0" w:space="0" w:color="auto"/>
        <w:bottom w:val="none" w:sz="0" w:space="0" w:color="auto"/>
        <w:right w:val="none" w:sz="0" w:space="0" w:color="auto"/>
      </w:divBdr>
    </w:div>
    <w:div w:id="140462056">
      <w:marLeft w:val="0"/>
      <w:marRight w:val="0"/>
      <w:marTop w:val="0"/>
      <w:marBottom w:val="0"/>
      <w:divBdr>
        <w:top w:val="none" w:sz="0" w:space="0" w:color="auto"/>
        <w:left w:val="none" w:sz="0" w:space="0" w:color="auto"/>
        <w:bottom w:val="none" w:sz="0" w:space="0" w:color="auto"/>
        <w:right w:val="none" w:sz="0" w:space="0" w:color="auto"/>
      </w:divBdr>
    </w:div>
    <w:div w:id="140462057">
      <w:marLeft w:val="0"/>
      <w:marRight w:val="0"/>
      <w:marTop w:val="0"/>
      <w:marBottom w:val="0"/>
      <w:divBdr>
        <w:top w:val="none" w:sz="0" w:space="0" w:color="auto"/>
        <w:left w:val="none" w:sz="0" w:space="0" w:color="auto"/>
        <w:bottom w:val="none" w:sz="0" w:space="0" w:color="auto"/>
        <w:right w:val="none" w:sz="0" w:space="0" w:color="auto"/>
      </w:divBdr>
    </w:div>
    <w:div w:id="140462058">
      <w:marLeft w:val="0"/>
      <w:marRight w:val="0"/>
      <w:marTop w:val="0"/>
      <w:marBottom w:val="0"/>
      <w:divBdr>
        <w:top w:val="none" w:sz="0" w:space="0" w:color="auto"/>
        <w:left w:val="none" w:sz="0" w:space="0" w:color="auto"/>
        <w:bottom w:val="none" w:sz="0" w:space="0" w:color="auto"/>
        <w:right w:val="none" w:sz="0" w:space="0" w:color="auto"/>
      </w:divBdr>
    </w:div>
    <w:div w:id="140462059">
      <w:marLeft w:val="0"/>
      <w:marRight w:val="0"/>
      <w:marTop w:val="0"/>
      <w:marBottom w:val="0"/>
      <w:divBdr>
        <w:top w:val="none" w:sz="0" w:space="0" w:color="auto"/>
        <w:left w:val="none" w:sz="0" w:space="0" w:color="auto"/>
        <w:bottom w:val="none" w:sz="0" w:space="0" w:color="auto"/>
        <w:right w:val="none" w:sz="0" w:space="0" w:color="auto"/>
      </w:divBdr>
    </w:div>
    <w:div w:id="140462060">
      <w:marLeft w:val="0"/>
      <w:marRight w:val="0"/>
      <w:marTop w:val="0"/>
      <w:marBottom w:val="0"/>
      <w:divBdr>
        <w:top w:val="none" w:sz="0" w:space="0" w:color="auto"/>
        <w:left w:val="none" w:sz="0" w:space="0" w:color="auto"/>
        <w:bottom w:val="none" w:sz="0" w:space="0" w:color="auto"/>
        <w:right w:val="none" w:sz="0" w:space="0" w:color="auto"/>
      </w:divBdr>
    </w:div>
    <w:div w:id="140462061">
      <w:marLeft w:val="0"/>
      <w:marRight w:val="0"/>
      <w:marTop w:val="0"/>
      <w:marBottom w:val="0"/>
      <w:divBdr>
        <w:top w:val="none" w:sz="0" w:space="0" w:color="auto"/>
        <w:left w:val="none" w:sz="0" w:space="0" w:color="auto"/>
        <w:bottom w:val="none" w:sz="0" w:space="0" w:color="auto"/>
        <w:right w:val="none" w:sz="0" w:space="0" w:color="auto"/>
      </w:divBdr>
    </w:div>
    <w:div w:id="140462062">
      <w:marLeft w:val="0"/>
      <w:marRight w:val="0"/>
      <w:marTop w:val="0"/>
      <w:marBottom w:val="0"/>
      <w:divBdr>
        <w:top w:val="none" w:sz="0" w:space="0" w:color="auto"/>
        <w:left w:val="none" w:sz="0" w:space="0" w:color="auto"/>
        <w:bottom w:val="none" w:sz="0" w:space="0" w:color="auto"/>
        <w:right w:val="none" w:sz="0" w:space="0" w:color="auto"/>
      </w:divBdr>
    </w:div>
    <w:div w:id="140462063">
      <w:marLeft w:val="0"/>
      <w:marRight w:val="0"/>
      <w:marTop w:val="0"/>
      <w:marBottom w:val="0"/>
      <w:divBdr>
        <w:top w:val="none" w:sz="0" w:space="0" w:color="auto"/>
        <w:left w:val="none" w:sz="0" w:space="0" w:color="auto"/>
        <w:bottom w:val="none" w:sz="0" w:space="0" w:color="auto"/>
        <w:right w:val="none" w:sz="0" w:space="0" w:color="auto"/>
      </w:divBdr>
    </w:div>
    <w:div w:id="140462064">
      <w:marLeft w:val="0"/>
      <w:marRight w:val="0"/>
      <w:marTop w:val="0"/>
      <w:marBottom w:val="0"/>
      <w:divBdr>
        <w:top w:val="none" w:sz="0" w:space="0" w:color="auto"/>
        <w:left w:val="none" w:sz="0" w:space="0" w:color="auto"/>
        <w:bottom w:val="none" w:sz="0" w:space="0" w:color="auto"/>
        <w:right w:val="none" w:sz="0" w:space="0" w:color="auto"/>
      </w:divBdr>
    </w:div>
    <w:div w:id="140462065">
      <w:marLeft w:val="0"/>
      <w:marRight w:val="0"/>
      <w:marTop w:val="0"/>
      <w:marBottom w:val="0"/>
      <w:divBdr>
        <w:top w:val="none" w:sz="0" w:space="0" w:color="auto"/>
        <w:left w:val="none" w:sz="0" w:space="0" w:color="auto"/>
        <w:bottom w:val="none" w:sz="0" w:space="0" w:color="auto"/>
        <w:right w:val="none" w:sz="0" w:space="0" w:color="auto"/>
      </w:divBdr>
    </w:div>
    <w:div w:id="140462066">
      <w:marLeft w:val="0"/>
      <w:marRight w:val="0"/>
      <w:marTop w:val="0"/>
      <w:marBottom w:val="0"/>
      <w:divBdr>
        <w:top w:val="none" w:sz="0" w:space="0" w:color="auto"/>
        <w:left w:val="none" w:sz="0" w:space="0" w:color="auto"/>
        <w:bottom w:val="none" w:sz="0" w:space="0" w:color="auto"/>
        <w:right w:val="none" w:sz="0" w:space="0" w:color="auto"/>
      </w:divBdr>
    </w:div>
    <w:div w:id="140462067">
      <w:marLeft w:val="0"/>
      <w:marRight w:val="0"/>
      <w:marTop w:val="0"/>
      <w:marBottom w:val="0"/>
      <w:divBdr>
        <w:top w:val="none" w:sz="0" w:space="0" w:color="auto"/>
        <w:left w:val="none" w:sz="0" w:space="0" w:color="auto"/>
        <w:bottom w:val="none" w:sz="0" w:space="0" w:color="auto"/>
        <w:right w:val="none" w:sz="0" w:space="0" w:color="auto"/>
      </w:divBdr>
    </w:div>
    <w:div w:id="140462068">
      <w:marLeft w:val="0"/>
      <w:marRight w:val="0"/>
      <w:marTop w:val="0"/>
      <w:marBottom w:val="0"/>
      <w:divBdr>
        <w:top w:val="none" w:sz="0" w:space="0" w:color="auto"/>
        <w:left w:val="none" w:sz="0" w:space="0" w:color="auto"/>
        <w:bottom w:val="none" w:sz="0" w:space="0" w:color="auto"/>
        <w:right w:val="none" w:sz="0" w:space="0" w:color="auto"/>
      </w:divBdr>
    </w:div>
    <w:div w:id="140462069">
      <w:marLeft w:val="0"/>
      <w:marRight w:val="0"/>
      <w:marTop w:val="0"/>
      <w:marBottom w:val="0"/>
      <w:divBdr>
        <w:top w:val="none" w:sz="0" w:space="0" w:color="auto"/>
        <w:left w:val="none" w:sz="0" w:space="0" w:color="auto"/>
        <w:bottom w:val="none" w:sz="0" w:space="0" w:color="auto"/>
        <w:right w:val="none" w:sz="0" w:space="0" w:color="auto"/>
      </w:divBdr>
    </w:div>
    <w:div w:id="140462070">
      <w:marLeft w:val="0"/>
      <w:marRight w:val="0"/>
      <w:marTop w:val="0"/>
      <w:marBottom w:val="0"/>
      <w:divBdr>
        <w:top w:val="none" w:sz="0" w:space="0" w:color="auto"/>
        <w:left w:val="none" w:sz="0" w:space="0" w:color="auto"/>
        <w:bottom w:val="none" w:sz="0" w:space="0" w:color="auto"/>
        <w:right w:val="none" w:sz="0" w:space="0" w:color="auto"/>
      </w:divBdr>
    </w:div>
    <w:div w:id="140462071">
      <w:marLeft w:val="0"/>
      <w:marRight w:val="0"/>
      <w:marTop w:val="0"/>
      <w:marBottom w:val="0"/>
      <w:divBdr>
        <w:top w:val="none" w:sz="0" w:space="0" w:color="auto"/>
        <w:left w:val="none" w:sz="0" w:space="0" w:color="auto"/>
        <w:bottom w:val="none" w:sz="0" w:space="0" w:color="auto"/>
        <w:right w:val="none" w:sz="0" w:space="0" w:color="auto"/>
      </w:divBdr>
    </w:div>
    <w:div w:id="140462072">
      <w:marLeft w:val="0"/>
      <w:marRight w:val="0"/>
      <w:marTop w:val="0"/>
      <w:marBottom w:val="0"/>
      <w:divBdr>
        <w:top w:val="none" w:sz="0" w:space="0" w:color="auto"/>
        <w:left w:val="none" w:sz="0" w:space="0" w:color="auto"/>
        <w:bottom w:val="none" w:sz="0" w:space="0" w:color="auto"/>
        <w:right w:val="none" w:sz="0" w:space="0" w:color="auto"/>
      </w:divBdr>
    </w:div>
    <w:div w:id="140462073">
      <w:marLeft w:val="0"/>
      <w:marRight w:val="0"/>
      <w:marTop w:val="0"/>
      <w:marBottom w:val="0"/>
      <w:divBdr>
        <w:top w:val="none" w:sz="0" w:space="0" w:color="auto"/>
        <w:left w:val="none" w:sz="0" w:space="0" w:color="auto"/>
        <w:bottom w:val="none" w:sz="0" w:space="0" w:color="auto"/>
        <w:right w:val="none" w:sz="0" w:space="0" w:color="auto"/>
      </w:divBdr>
    </w:div>
    <w:div w:id="140462074">
      <w:marLeft w:val="0"/>
      <w:marRight w:val="0"/>
      <w:marTop w:val="0"/>
      <w:marBottom w:val="0"/>
      <w:divBdr>
        <w:top w:val="none" w:sz="0" w:space="0" w:color="auto"/>
        <w:left w:val="none" w:sz="0" w:space="0" w:color="auto"/>
        <w:bottom w:val="none" w:sz="0" w:space="0" w:color="auto"/>
        <w:right w:val="none" w:sz="0" w:space="0" w:color="auto"/>
      </w:divBdr>
    </w:div>
    <w:div w:id="140462075">
      <w:marLeft w:val="0"/>
      <w:marRight w:val="0"/>
      <w:marTop w:val="0"/>
      <w:marBottom w:val="0"/>
      <w:divBdr>
        <w:top w:val="none" w:sz="0" w:space="0" w:color="auto"/>
        <w:left w:val="none" w:sz="0" w:space="0" w:color="auto"/>
        <w:bottom w:val="none" w:sz="0" w:space="0" w:color="auto"/>
        <w:right w:val="none" w:sz="0" w:space="0" w:color="auto"/>
      </w:divBdr>
    </w:div>
    <w:div w:id="140462076">
      <w:marLeft w:val="0"/>
      <w:marRight w:val="0"/>
      <w:marTop w:val="0"/>
      <w:marBottom w:val="0"/>
      <w:divBdr>
        <w:top w:val="none" w:sz="0" w:space="0" w:color="auto"/>
        <w:left w:val="none" w:sz="0" w:space="0" w:color="auto"/>
        <w:bottom w:val="none" w:sz="0" w:space="0" w:color="auto"/>
        <w:right w:val="none" w:sz="0" w:space="0" w:color="auto"/>
      </w:divBdr>
    </w:div>
    <w:div w:id="727802176">
      <w:bodyDiv w:val="1"/>
      <w:marLeft w:val="0"/>
      <w:marRight w:val="0"/>
      <w:marTop w:val="0"/>
      <w:marBottom w:val="0"/>
      <w:divBdr>
        <w:top w:val="none" w:sz="0" w:space="0" w:color="auto"/>
        <w:left w:val="none" w:sz="0" w:space="0" w:color="auto"/>
        <w:bottom w:val="none" w:sz="0" w:space="0" w:color="auto"/>
        <w:right w:val="none" w:sz="0" w:space="0" w:color="auto"/>
      </w:divBdr>
    </w:div>
    <w:div w:id="986781953">
      <w:bodyDiv w:val="1"/>
      <w:marLeft w:val="0"/>
      <w:marRight w:val="0"/>
      <w:marTop w:val="0"/>
      <w:marBottom w:val="0"/>
      <w:divBdr>
        <w:top w:val="none" w:sz="0" w:space="0" w:color="auto"/>
        <w:left w:val="none" w:sz="0" w:space="0" w:color="auto"/>
        <w:bottom w:val="none" w:sz="0" w:space="0" w:color="auto"/>
        <w:right w:val="none" w:sz="0" w:space="0" w:color="auto"/>
      </w:divBdr>
    </w:div>
    <w:div w:id="19338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chart" Target="charts/chart1.xml"/><Relationship Id="rId26" Type="http://schemas.openxmlformats.org/officeDocument/2006/relationships/hyperlink" Target="http://ro.wikipedia.org/wiki/Curtea_European%C4%83_a_Drepturilor_Omului" TargetMode="Externa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cnajgs.md/fileadmin/fisiere/documente/Informatie_utila/Conventia_privind_Drept.Persoanelor_cu_Dizabilitati.pdf"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chart" Target="charts/char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http://norlam.md/libview.php?l=ro&amp;idc=96&amp;id=691" TargetMode="Externa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yperlink" Target="http://norlam.md/libview.php?l=ro&amp;idc=96&amp;id=734"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chart" Target="charts/chart5.xm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md/un_res_coord_sys/docs/2012%20Progress%20Report%20-%20Moldova%20UNDAF.pdf" TargetMode="External"/><Relationship Id="rId1" Type="http://schemas.openxmlformats.org/officeDocument/2006/relationships/hyperlink" Target="http://www.osce.org/cthb/9230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94339622641581"/>
          <c:y val="9.0090090090090575E-3"/>
          <c:w val="0.75471698113207553"/>
          <c:h val="0.41891891891891991"/>
        </c:manualLayout>
      </c:layout>
      <c:bar3DChart>
        <c:barDir val="col"/>
        <c:grouping val="clustered"/>
        <c:varyColors val="0"/>
        <c:ser>
          <c:idx val="0"/>
          <c:order val="0"/>
          <c:tx>
            <c:strRef>
              <c:f>Sheet1!$A$2</c:f>
              <c:strCache>
                <c:ptCount val="1"/>
                <c:pt idx="0">
                  <c:v>a) cu implicarea resurselor umane şi financiare ale CNAJGS (din bugetul de stat)</c:v>
                </c:pt>
              </c:strCache>
            </c:strRef>
          </c:tx>
          <c:spPr>
            <a:solidFill>
              <a:srgbClr val="9999FF"/>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0.59000000000000052</c:v>
                </c:pt>
              </c:numCache>
            </c:numRef>
          </c:val>
        </c:ser>
        <c:ser>
          <c:idx val="1"/>
          <c:order val="1"/>
          <c:tx>
            <c:strRef>
              <c:f>Sheet1!$A$3</c:f>
              <c:strCache>
                <c:ptCount val="1"/>
                <c:pt idx="0">
                  <c:v>b) cu implicarea resurselor umane şi financiare ale UA</c:v>
                </c:pt>
              </c:strCache>
            </c:strRef>
          </c:tx>
          <c:spPr>
            <a:solidFill>
              <a:srgbClr val="993366"/>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0.35000000000000031</c:v>
                </c:pt>
              </c:numCache>
            </c:numRef>
          </c:val>
        </c:ser>
        <c:ser>
          <c:idx val="2"/>
          <c:order val="2"/>
          <c:tx>
            <c:strRef>
              <c:f>Sheet1!$A$4</c:f>
              <c:strCache>
                <c:ptCount val="1"/>
                <c:pt idx="0">
                  <c:v>c) cu implicarea resurselor umane şi financiare ale INJ</c:v>
                </c:pt>
              </c:strCache>
            </c:strRef>
          </c:tx>
          <c:spPr>
            <a:solidFill>
              <a:srgbClr val="FFFFCC"/>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0.37000000000000038</c:v>
                </c:pt>
              </c:numCache>
            </c:numRef>
          </c:val>
        </c:ser>
        <c:ser>
          <c:idx val="3"/>
          <c:order val="3"/>
          <c:tx>
            <c:strRef>
              <c:f>Sheet1!$A$5</c:f>
              <c:strCache>
                <c:ptCount val="1"/>
                <c:pt idx="0">
                  <c:v>d) cu implicarea resurselor umane şi financiare ale ONG, organizaţii internaţionale, donatori</c:v>
                </c:pt>
              </c:strCache>
            </c:strRef>
          </c:tx>
          <c:spPr>
            <a:solidFill>
              <a:srgbClr val="CCFFFF"/>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0.60000000000000064</c:v>
                </c:pt>
              </c:numCache>
            </c:numRef>
          </c:val>
        </c:ser>
        <c:ser>
          <c:idx val="4"/>
          <c:order val="4"/>
          <c:tx>
            <c:strRef>
              <c:f>Sheet1!$A$6</c:f>
              <c:strCache>
                <c:ptCount val="1"/>
                <c:pt idx="0">
                  <c:v>e) cumpărarea serviciilor de instruire de la INJ</c:v>
                </c:pt>
              </c:strCache>
            </c:strRef>
          </c:tx>
          <c:spPr>
            <a:solidFill>
              <a:srgbClr val="660066"/>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9.0000000000000066E-2</c:v>
                </c:pt>
              </c:numCache>
            </c:numRef>
          </c:val>
        </c:ser>
        <c:ser>
          <c:idx val="5"/>
          <c:order val="5"/>
          <c:tx>
            <c:strRef>
              <c:f>Sheet1!$A$7</c:f>
              <c:strCache>
                <c:ptCount val="1"/>
                <c:pt idx="0">
                  <c:v>f) cumpărarea serviciilor de instruire de la UA</c:v>
                </c:pt>
              </c:strCache>
            </c:strRef>
          </c:tx>
          <c:spPr>
            <a:solidFill>
              <a:srgbClr val="FF8080"/>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0%</c:formatCode>
                <c:ptCount val="1"/>
                <c:pt idx="0">
                  <c:v>0.11000000000000007</c:v>
                </c:pt>
              </c:numCache>
            </c:numRef>
          </c:val>
        </c:ser>
        <c:ser>
          <c:idx val="6"/>
          <c:order val="6"/>
          <c:tx>
            <c:strRef>
              <c:f>Sheet1!$A$8</c:f>
              <c:strCache>
                <c:ptCount val="1"/>
                <c:pt idx="0">
                  <c:v>g) cumpărare servicii de instruire de la ONG, organizaţii internaţionale, agenţii ONU,</c:v>
                </c:pt>
              </c:strCache>
            </c:strRef>
          </c:tx>
          <c:spPr>
            <a:solidFill>
              <a:srgbClr val="0066CC"/>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0%</c:formatCode>
                <c:ptCount val="1"/>
                <c:pt idx="0">
                  <c:v>0.13</c:v>
                </c:pt>
              </c:numCache>
            </c:numRef>
          </c:val>
        </c:ser>
        <c:ser>
          <c:idx val="7"/>
          <c:order val="7"/>
          <c:tx>
            <c:strRef>
              <c:f>Sheet1!$A$9</c:f>
              <c:strCache>
                <c:ptCount val="1"/>
                <c:pt idx="0">
                  <c:v>h) cumpărare servicii de instruire de la companii private</c:v>
                </c:pt>
              </c:strCache>
            </c:strRef>
          </c:tx>
          <c:spPr>
            <a:solidFill>
              <a:srgbClr val="CCCCFF"/>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0%</c:formatCode>
                <c:ptCount val="1"/>
                <c:pt idx="0">
                  <c:v>6.0000000000000102E-2</c:v>
                </c:pt>
              </c:numCache>
            </c:numRef>
          </c:val>
        </c:ser>
        <c:ser>
          <c:idx val="8"/>
          <c:order val="8"/>
          <c:tx>
            <c:strRef>
              <c:f>Sheet1!$A$10</c:f>
              <c:strCache>
                <c:ptCount val="1"/>
                <c:pt idx="0">
                  <c:v>i) cumpărare servicii de instruire de la universităţi</c:v>
                </c:pt>
              </c:strCache>
            </c:strRef>
          </c:tx>
          <c:spPr>
            <a:solidFill>
              <a:srgbClr val="000080"/>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Sheet1!$B$10:$B$10</c:f>
              <c:numCache>
                <c:formatCode>0%</c:formatCode>
                <c:ptCount val="1"/>
                <c:pt idx="0">
                  <c:v>0.11000000000000007</c:v>
                </c:pt>
              </c:numCache>
            </c:numRef>
          </c:val>
        </c:ser>
        <c:ser>
          <c:idx val="9"/>
          <c:order val="9"/>
          <c:tx>
            <c:strRef>
              <c:f>Sheet1!$A$11</c:f>
              <c:strCache>
                <c:ptCount val="1"/>
                <c:pt idx="0">
                  <c:v>j) altă opţiune</c:v>
                </c:pt>
              </c:strCache>
            </c:strRef>
          </c:tx>
          <c:spPr>
            <a:solidFill>
              <a:srgbClr val="FF00FF"/>
            </a:solidFill>
            <a:ln w="9502">
              <a:solidFill>
                <a:srgbClr val="000000"/>
              </a:solidFill>
              <a:prstDash val="solid"/>
            </a:ln>
          </c:spPr>
          <c:invertIfNegative val="0"/>
          <c:dLbls>
            <c:spPr>
              <a:noFill/>
              <a:ln w="19003">
                <a:noFill/>
              </a:ln>
            </c:spPr>
            <c:txPr>
              <a:bodyPr/>
              <a:lstStyle/>
              <a:p>
                <a:pPr>
                  <a:defRPr sz="125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Sheet1!$B$11:$B$11</c:f>
              <c:numCache>
                <c:formatCode>0%</c:formatCode>
                <c:ptCount val="1"/>
                <c:pt idx="0">
                  <c:v>4.0000000000000091E-2</c:v>
                </c:pt>
              </c:numCache>
            </c:numRef>
          </c:val>
        </c:ser>
        <c:dLbls>
          <c:showLegendKey val="0"/>
          <c:showVal val="1"/>
          <c:showCatName val="0"/>
          <c:showSerName val="0"/>
          <c:showPercent val="0"/>
          <c:showBubbleSize val="0"/>
        </c:dLbls>
        <c:gapWidth val="150"/>
        <c:gapDepth val="0"/>
        <c:shape val="box"/>
        <c:axId val="448689888"/>
        <c:axId val="448681408"/>
        <c:axId val="0"/>
      </c:bar3DChart>
      <c:catAx>
        <c:axId val="448689888"/>
        <c:scaling>
          <c:orientation val="minMax"/>
        </c:scaling>
        <c:delete val="0"/>
        <c:axPos val="b"/>
        <c:numFmt formatCode="General" sourceLinked="1"/>
        <c:majorTickMark val="out"/>
        <c:minorTickMark val="none"/>
        <c:tickLblPos val="low"/>
        <c:spPr>
          <a:ln w="2375">
            <a:solidFill>
              <a:srgbClr val="000000"/>
            </a:solidFill>
            <a:prstDash val="solid"/>
          </a:ln>
        </c:spPr>
        <c:txPr>
          <a:bodyPr rot="0" vert="horz"/>
          <a:lstStyle/>
          <a:p>
            <a:pPr>
              <a:defRPr sz="1253" b="1" i="0" u="none" strike="noStrike" baseline="0">
                <a:solidFill>
                  <a:srgbClr val="000000"/>
                </a:solidFill>
                <a:latin typeface="Arial Cyr"/>
                <a:ea typeface="Arial Cyr"/>
                <a:cs typeface="Arial Cyr"/>
              </a:defRPr>
            </a:pPr>
            <a:endParaRPr lang="ru-RU"/>
          </a:p>
        </c:txPr>
        <c:crossAx val="448681408"/>
        <c:crosses val="autoZero"/>
        <c:auto val="0"/>
        <c:lblAlgn val="ctr"/>
        <c:lblOffset val="100"/>
        <c:tickLblSkip val="1"/>
        <c:tickMarkSkip val="1"/>
        <c:noMultiLvlLbl val="0"/>
      </c:catAx>
      <c:valAx>
        <c:axId val="448681408"/>
        <c:scaling>
          <c:orientation val="minMax"/>
        </c:scaling>
        <c:delete val="0"/>
        <c:axPos val="l"/>
        <c:majorGridlines>
          <c:spPr>
            <a:ln w="2375">
              <a:solidFill>
                <a:srgbClr val="000000"/>
              </a:solidFill>
              <a:prstDash val="solid"/>
            </a:ln>
          </c:spPr>
        </c:majorGridlines>
        <c:numFmt formatCode="0%" sourceLinked="0"/>
        <c:majorTickMark val="out"/>
        <c:minorTickMark val="none"/>
        <c:tickLblPos val="nextTo"/>
        <c:spPr>
          <a:ln w="2375">
            <a:solidFill>
              <a:srgbClr val="000000"/>
            </a:solidFill>
            <a:prstDash val="solid"/>
          </a:ln>
        </c:spPr>
        <c:txPr>
          <a:bodyPr rot="0" vert="horz"/>
          <a:lstStyle/>
          <a:p>
            <a:pPr>
              <a:defRPr sz="879" b="1" i="0" u="none" strike="noStrike" baseline="0">
                <a:solidFill>
                  <a:srgbClr val="000000"/>
                </a:solidFill>
                <a:latin typeface="Arial Cyr"/>
                <a:ea typeface="Arial Cyr"/>
                <a:cs typeface="Arial Cyr"/>
              </a:defRPr>
            </a:pPr>
            <a:endParaRPr lang="ru-RU"/>
          </a:p>
        </c:txPr>
        <c:crossAx val="448689888"/>
        <c:crosses val="autoZero"/>
        <c:crossBetween val="between"/>
      </c:valAx>
      <c:spPr>
        <a:noFill/>
        <a:ln w="19003">
          <a:noFill/>
        </a:ln>
      </c:spPr>
    </c:plotArea>
    <c:legend>
      <c:legendPos val="r"/>
      <c:layout>
        <c:manualLayout>
          <c:xMode val="edge"/>
          <c:yMode val="edge"/>
          <c:x val="0.18181818181818238"/>
          <c:y val="0.4527027027027028"/>
          <c:w val="0.7289879931389367"/>
          <c:h val="0.47747747747747865"/>
        </c:manualLayout>
      </c:layout>
      <c:overlay val="0"/>
      <c:spPr>
        <a:noFill/>
        <a:ln w="2375">
          <a:solidFill>
            <a:srgbClr val="000000"/>
          </a:solidFill>
          <a:prstDash val="solid"/>
        </a:ln>
      </c:spPr>
      <c:txPr>
        <a:bodyPr/>
        <a:lstStyle/>
        <a:p>
          <a:pPr>
            <a:defRPr sz="55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5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3175">
          <a:solidFill>
            <a:srgbClr val="000000"/>
          </a:solidFill>
          <a:prstDash val="solid"/>
        </a:ln>
      </c:spPr>
    </c:sideWall>
    <c:backWall>
      <c:thickness val="0"/>
      <c:spPr>
        <a:solidFill>
          <a:srgbClr val="C0C0C0"/>
        </a:solidFill>
        <a:ln w="3175">
          <a:solidFill>
            <a:srgbClr val="000000"/>
          </a:solidFill>
          <a:prstDash val="solid"/>
        </a:ln>
      </c:spPr>
    </c:backWall>
    <c:plotArea>
      <c:layout>
        <c:manualLayout>
          <c:layoutTarget val="inner"/>
          <c:xMode val="edge"/>
          <c:yMode val="edge"/>
          <c:x val="9.274873524451939E-2"/>
          <c:y val="6.9400630914826872E-2"/>
          <c:w val="0.88701517706576727"/>
          <c:h val="0.45110410094637227"/>
        </c:manualLayout>
      </c:layout>
      <c:bar3DChart>
        <c:barDir val="col"/>
        <c:grouping val="clustered"/>
        <c:varyColors val="0"/>
        <c:ser>
          <c:idx val="0"/>
          <c:order val="0"/>
          <c:tx>
            <c:strRef>
              <c:f>Sheet1!$A$2</c:f>
              <c:strCache>
                <c:ptCount val="1"/>
                <c:pt idx="0">
                  <c:v>a) Vârstă</c:v>
                </c:pt>
              </c:strCache>
            </c:strRef>
          </c:tx>
          <c:spPr>
            <a:solidFill>
              <a:srgbClr val="9999FF"/>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0.15000000000000024</c:v>
                </c:pt>
              </c:numCache>
            </c:numRef>
          </c:val>
        </c:ser>
        <c:ser>
          <c:idx val="1"/>
          <c:order val="1"/>
          <c:tx>
            <c:strRef>
              <c:f>Sheet1!$A$3</c:f>
              <c:strCache>
                <c:ptCount val="1"/>
                <c:pt idx="0">
                  <c:v>b) deţinerea gradului didactic</c:v>
                </c:pt>
              </c:strCache>
            </c:strRef>
          </c:tx>
          <c:spPr>
            <a:solidFill>
              <a:srgbClr val="993366"/>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0.23</c:v>
                </c:pt>
              </c:numCache>
            </c:numRef>
          </c:val>
        </c:ser>
        <c:ser>
          <c:idx val="2"/>
          <c:order val="2"/>
          <c:tx>
            <c:strRef>
              <c:f>Sheet1!$A$4</c:f>
              <c:strCache>
                <c:ptCount val="1"/>
                <c:pt idx="0">
                  <c:v>c) deţinerea gradului ştiinţific</c:v>
                </c:pt>
              </c:strCache>
            </c:strRef>
          </c:tx>
          <c:spPr>
            <a:solidFill>
              <a:srgbClr val="FFFFCC"/>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0.21000000000000021</c:v>
                </c:pt>
              </c:numCache>
            </c:numRef>
          </c:val>
        </c:ser>
        <c:ser>
          <c:idx val="3"/>
          <c:order val="3"/>
          <c:tx>
            <c:strRef>
              <c:f>Sheet1!$A$5</c:f>
              <c:strCache>
                <c:ptCount val="1"/>
                <c:pt idx="0">
                  <c:v>d) experienţă de lucru în avocatură</c:v>
                </c:pt>
              </c:strCache>
            </c:strRef>
          </c:tx>
          <c:spPr>
            <a:solidFill>
              <a:srgbClr val="CCFFFF"/>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0.86000000000000065</c:v>
                </c:pt>
              </c:numCache>
            </c:numRef>
          </c:val>
        </c:ser>
        <c:ser>
          <c:idx val="4"/>
          <c:order val="4"/>
          <c:tx>
            <c:strRef>
              <c:f>Sheet1!$A$6</c:f>
              <c:strCache>
                <c:ptCount val="1"/>
                <c:pt idx="0">
                  <c:v>e) experienţă în oferirea instruirii continue avocaţilor</c:v>
                </c:pt>
              </c:strCache>
            </c:strRef>
          </c:tx>
          <c:spPr>
            <a:solidFill>
              <a:srgbClr val="660066"/>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0.53</c:v>
                </c:pt>
              </c:numCache>
            </c:numRef>
          </c:val>
        </c:ser>
        <c:ser>
          <c:idx val="5"/>
          <c:order val="5"/>
          <c:tx>
            <c:strRef>
              <c:f>Sheet1!$A$7</c:f>
              <c:strCache>
                <c:ptCount val="1"/>
                <c:pt idx="0">
                  <c:v>f) experienţă de interacţiune cu sistemul de asistenţă juridică garantată de stat</c:v>
                </c:pt>
              </c:strCache>
            </c:strRef>
          </c:tx>
          <c:spPr>
            <a:solidFill>
              <a:srgbClr val="FF8080"/>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0%</c:formatCode>
                <c:ptCount val="1"/>
                <c:pt idx="0">
                  <c:v>0.55000000000000004</c:v>
                </c:pt>
              </c:numCache>
            </c:numRef>
          </c:val>
        </c:ser>
        <c:ser>
          <c:idx val="6"/>
          <c:order val="6"/>
          <c:tx>
            <c:strRef>
              <c:f>Sheet1!$A$8</c:f>
              <c:strCache>
                <c:ptCount val="1"/>
                <c:pt idx="0">
                  <c:v>g) alte criterii</c:v>
                </c:pt>
              </c:strCache>
            </c:strRef>
          </c:tx>
          <c:spPr>
            <a:solidFill>
              <a:srgbClr val="0066CC"/>
            </a:solidFill>
            <a:ln w="11220">
              <a:solidFill>
                <a:srgbClr val="000000"/>
              </a:solidFill>
              <a:prstDash val="solid"/>
            </a:ln>
          </c:spPr>
          <c:invertIfNegative val="0"/>
          <c:dLbls>
            <c:spPr>
              <a:noFill/>
              <a:ln w="22440">
                <a:noFill/>
              </a:ln>
            </c:spPr>
            <c:txPr>
              <a:bodyPr/>
              <a:lstStyle/>
              <a:p>
                <a:pPr>
                  <a:defRPr sz="106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0%</c:formatCode>
                <c:ptCount val="1"/>
                <c:pt idx="0">
                  <c:v>4.0000000000000022E-2</c:v>
                </c:pt>
              </c:numCache>
            </c:numRef>
          </c:val>
        </c:ser>
        <c:dLbls>
          <c:showLegendKey val="0"/>
          <c:showVal val="1"/>
          <c:showCatName val="0"/>
          <c:showSerName val="0"/>
          <c:showPercent val="0"/>
          <c:showBubbleSize val="0"/>
        </c:dLbls>
        <c:gapWidth val="150"/>
        <c:gapDepth val="0"/>
        <c:shape val="box"/>
        <c:axId val="448693280"/>
        <c:axId val="448697944"/>
        <c:axId val="0"/>
      </c:bar3DChart>
      <c:catAx>
        <c:axId val="448693280"/>
        <c:scaling>
          <c:orientation val="minMax"/>
        </c:scaling>
        <c:delete val="0"/>
        <c:axPos val="b"/>
        <c:numFmt formatCode="General" sourceLinked="1"/>
        <c:majorTickMark val="out"/>
        <c:minorTickMark val="none"/>
        <c:tickLblPos val="low"/>
        <c:spPr>
          <a:ln w="2805">
            <a:solidFill>
              <a:srgbClr val="000000"/>
            </a:solidFill>
            <a:prstDash val="solid"/>
          </a:ln>
        </c:spPr>
        <c:txPr>
          <a:bodyPr rot="0" vert="horz"/>
          <a:lstStyle/>
          <a:p>
            <a:pPr>
              <a:defRPr sz="1060" b="1" i="0" u="none" strike="noStrike" baseline="0">
                <a:solidFill>
                  <a:srgbClr val="000000"/>
                </a:solidFill>
                <a:latin typeface="Arial Cyr"/>
                <a:ea typeface="Arial Cyr"/>
                <a:cs typeface="Arial Cyr"/>
              </a:defRPr>
            </a:pPr>
            <a:endParaRPr lang="ru-RU"/>
          </a:p>
        </c:txPr>
        <c:crossAx val="448697944"/>
        <c:crosses val="autoZero"/>
        <c:auto val="0"/>
        <c:lblAlgn val="ctr"/>
        <c:lblOffset val="100"/>
        <c:tickLblSkip val="1"/>
        <c:tickMarkSkip val="1"/>
        <c:noMultiLvlLbl val="0"/>
      </c:catAx>
      <c:valAx>
        <c:axId val="448697944"/>
        <c:scaling>
          <c:orientation val="minMax"/>
          <c:max val="1"/>
        </c:scaling>
        <c:delete val="0"/>
        <c:axPos val="l"/>
        <c:majorGridlines>
          <c:spPr>
            <a:ln w="2805">
              <a:solidFill>
                <a:srgbClr val="000000"/>
              </a:solidFill>
              <a:prstDash val="solid"/>
            </a:ln>
          </c:spPr>
        </c:majorGridlines>
        <c:numFmt formatCode="0%" sourceLinked="1"/>
        <c:majorTickMark val="out"/>
        <c:minorTickMark val="none"/>
        <c:tickLblPos val="nextTo"/>
        <c:spPr>
          <a:ln w="2805">
            <a:solidFill>
              <a:srgbClr val="000000"/>
            </a:solidFill>
            <a:prstDash val="solid"/>
          </a:ln>
        </c:spPr>
        <c:txPr>
          <a:bodyPr rot="0" vert="horz"/>
          <a:lstStyle/>
          <a:p>
            <a:pPr>
              <a:defRPr sz="707" b="1" i="0" u="none" strike="noStrike" baseline="0">
                <a:solidFill>
                  <a:srgbClr val="000000"/>
                </a:solidFill>
                <a:latin typeface="Arial Cyr"/>
                <a:ea typeface="Arial Cyr"/>
                <a:cs typeface="Arial Cyr"/>
              </a:defRPr>
            </a:pPr>
            <a:endParaRPr lang="ru-RU"/>
          </a:p>
        </c:txPr>
        <c:crossAx val="448693280"/>
        <c:crosses val="autoZero"/>
        <c:crossBetween val="between"/>
      </c:valAx>
      <c:spPr>
        <a:noFill/>
        <a:ln w="22440">
          <a:noFill/>
        </a:ln>
      </c:spPr>
    </c:plotArea>
    <c:legend>
      <c:legendPos val="r"/>
      <c:layout>
        <c:manualLayout>
          <c:xMode val="edge"/>
          <c:yMode val="edge"/>
          <c:x val="0.13490725126475547"/>
          <c:y val="0.51735015772870652"/>
          <c:w val="0.80775716694772348"/>
          <c:h val="0.35331230283911758"/>
        </c:manualLayout>
      </c:layout>
      <c:overlay val="0"/>
      <c:spPr>
        <a:noFill/>
        <a:ln w="2805">
          <a:solidFill>
            <a:srgbClr val="000000"/>
          </a:solidFill>
          <a:prstDash val="solid"/>
        </a:ln>
      </c:spPr>
      <c:txPr>
        <a:bodyPr/>
        <a:lstStyle/>
        <a:p>
          <a:pPr>
            <a:defRPr sz="649"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6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637083993660882E-2"/>
          <c:y val="1.7110266159695818E-2"/>
          <c:w val="0.92551505546751189"/>
          <c:h val="0.35361216730038125"/>
        </c:manualLayout>
      </c:layout>
      <c:bar3DChart>
        <c:barDir val="col"/>
        <c:grouping val="clustered"/>
        <c:varyColors val="0"/>
        <c:ser>
          <c:idx val="0"/>
          <c:order val="0"/>
          <c:tx>
            <c:strRef>
              <c:f>Sheet1!$A$2</c:f>
              <c:strCache>
                <c:ptCount val="1"/>
                <c:pt idx="0">
                  <c:v>a) instruirea continuă nu trebuie să fie obligatorie pentru avocaţi  şi fiecare se înscrie doar dacă doreşte</c:v>
                </c:pt>
              </c:strCache>
            </c:strRef>
          </c:tx>
          <c:spPr>
            <a:solidFill>
              <a:srgbClr val="9999FF"/>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0.3300000000000009</c:v>
                </c:pt>
              </c:numCache>
            </c:numRef>
          </c:val>
        </c:ser>
        <c:ser>
          <c:idx val="1"/>
          <c:order val="1"/>
          <c:tx>
            <c:strRef>
              <c:f>Sheet1!$A$3</c:f>
              <c:strCache>
                <c:ptCount val="1"/>
                <c:pt idx="0">
                  <c:v>b) avocaţii în privinţa cărora există plângeri la OT ale CNAJGS, UA, CNAJGS sau alte instituţii</c:v>
                </c:pt>
              </c:strCache>
            </c:strRef>
          </c:tx>
          <c:spPr>
            <a:solidFill>
              <a:srgbClr val="993366"/>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7.0000000000000021E-2</c:v>
                </c:pt>
              </c:numCache>
            </c:numRef>
          </c:val>
        </c:ser>
        <c:ser>
          <c:idx val="2"/>
          <c:order val="2"/>
          <c:tx>
            <c:strRef>
              <c:f>Sheet1!$A$4</c:f>
              <c:strCache>
                <c:ptCount val="1"/>
                <c:pt idx="0">
                  <c:v>c) avocaţii în privinţa cărora s-au depistat deficienţe de activitate în procesul de monitorizare a calităţii AJGS acordate</c:v>
                </c:pt>
              </c:strCache>
            </c:strRef>
          </c:tx>
          <c:spPr>
            <a:solidFill>
              <a:srgbClr val="FFFFCC"/>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0.11</c:v>
                </c:pt>
              </c:numCache>
            </c:numRef>
          </c:val>
        </c:ser>
        <c:ser>
          <c:idx val="3"/>
          <c:order val="3"/>
          <c:tx>
            <c:strRef>
              <c:f>Sheet1!$A$5</c:f>
              <c:strCache>
                <c:ptCount val="1"/>
                <c:pt idx="0">
                  <c:v>d) avocaţii cu experienţă profesională mai mică de 3 ani</c:v>
                </c:pt>
              </c:strCache>
            </c:strRef>
          </c:tx>
          <c:spPr>
            <a:solidFill>
              <a:srgbClr val="CCFFFF"/>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0.14000000000000001</c:v>
                </c:pt>
              </c:numCache>
            </c:numRef>
          </c:val>
        </c:ser>
        <c:ser>
          <c:idx val="4"/>
          <c:order val="4"/>
          <c:tx>
            <c:strRef>
              <c:f>Sheet1!$A$6</c:f>
              <c:strCache>
                <c:ptCount val="1"/>
                <c:pt idx="0">
                  <c:v>e) avocaţii cu experienţă profesională mai mică de 5 ani</c:v>
                </c:pt>
              </c:strCache>
            </c:strRef>
          </c:tx>
          <c:spPr>
            <a:solidFill>
              <a:srgbClr val="660066"/>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0.05</c:v>
                </c:pt>
              </c:numCache>
            </c:numRef>
          </c:val>
        </c:ser>
        <c:ser>
          <c:idx val="5"/>
          <c:order val="5"/>
          <c:tx>
            <c:strRef>
              <c:f>Sheet1!$A$7</c:f>
              <c:strCache>
                <c:ptCount val="1"/>
                <c:pt idx="0">
                  <c:v>f) avocaţii cu experienţă profesională mai mică de 10 ani</c:v>
                </c:pt>
              </c:strCache>
            </c:strRef>
          </c:tx>
          <c:spPr>
            <a:solidFill>
              <a:srgbClr val="FF8080"/>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0%</c:formatCode>
                <c:ptCount val="1"/>
                <c:pt idx="0">
                  <c:v>2.0000000000000011E-2</c:v>
                </c:pt>
              </c:numCache>
            </c:numRef>
          </c:val>
        </c:ser>
        <c:ser>
          <c:idx val="6"/>
          <c:order val="6"/>
          <c:tx>
            <c:strRef>
              <c:f>Sheet1!$A$8</c:f>
              <c:strCache>
                <c:ptCount val="1"/>
                <c:pt idx="0">
                  <c:v>g) avocaţii care au absolvit instituţia de învăţământ cu mai mult de 10 ani în urmă</c:v>
                </c:pt>
              </c:strCache>
            </c:strRef>
          </c:tx>
          <c:spPr>
            <a:solidFill>
              <a:srgbClr val="0066CC"/>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0%</c:formatCode>
                <c:ptCount val="1"/>
                <c:pt idx="0">
                  <c:v>2.0000000000000011E-2</c:v>
                </c:pt>
              </c:numCache>
            </c:numRef>
          </c:val>
        </c:ser>
        <c:ser>
          <c:idx val="7"/>
          <c:order val="7"/>
          <c:tx>
            <c:strRef>
              <c:f>Sheet1!$A$9</c:f>
              <c:strCache>
                <c:ptCount val="1"/>
                <c:pt idx="0">
                  <c:v>h) avocaţii care au absolvit instituţia de învăţământ cu mai mult de 20 ani în urmă</c:v>
                </c:pt>
              </c:strCache>
            </c:strRef>
          </c:tx>
          <c:spPr>
            <a:solidFill>
              <a:srgbClr val="CCCCFF"/>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0%</c:formatCode>
                <c:ptCount val="1"/>
                <c:pt idx="0">
                  <c:v>4.0000000000000022E-2</c:v>
                </c:pt>
              </c:numCache>
            </c:numRef>
          </c:val>
        </c:ser>
        <c:ser>
          <c:idx val="8"/>
          <c:order val="8"/>
          <c:tx>
            <c:strRef>
              <c:f>Sheet1!$A$10</c:f>
              <c:strCache>
                <c:ptCount val="1"/>
                <c:pt idx="0">
                  <c:v>i) toţi avocaţii care acordă asistenţă juridică garantată de stat</c:v>
                </c:pt>
              </c:strCache>
            </c:strRef>
          </c:tx>
          <c:spPr>
            <a:solidFill>
              <a:srgbClr val="000080"/>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Sheet1!$B$10:$B$10</c:f>
              <c:numCache>
                <c:formatCode>0%</c:formatCode>
                <c:ptCount val="1"/>
                <c:pt idx="0">
                  <c:v>0.36000000000000032</c:v>
                </c:pt>
              </c:numCache>
            </c:numRef>
          </c:val>
        </c:ser>
        <c:ser>
          <c:idx val="9"/>
          <c:order val="9"/>
          <c:tx>
            <c:strRef>
              <c:f>Sheet1!$A$11</c:f>
              <c:strCache>
                <c:ptCount val="1"/>
                <c:pt idx="0">
                  <c:v>j) toţi avocaţii, inclusiv cei care acordă asistenţă juridică garantată de stat</c:v>
                </c:pt>
              </c:strCache>
            </c:strRef>
          </c:tx>
          <c:spPr>
            <a:solidFill>
              <a:srgbClr val="FF00FF"/>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Sheet1!$B$11:$B$11</c:f>
              <c:numCache>
                <c:formatCode>0%</c:formatCode>
                <c:ptCount val="1"/>
                <c:pt idx="0">
                  <c:v>0.34</c:v>
                </c:pt>
              </c:numCache>
            </c:numRef>
          </c:val>
        </c:ser>
        <c:ser>
          <c:idx val="10"/>
          <c:order val="10"/>
          <c:tx>
            <c:strRef>
              <c:f>Sheet1!$A$12</c:f>
              <c:strCache>
                <c:ptCount val="1"/>
                <c:pt idx="0">
                  <c:v>k) altceva</c:v>
                </c:pt>
              </c:strCache>
            </c:strRef>
          </c:tx>
          <c:spPr>
            <a:solidFill>
              <a:srgbClr val="FFFF00"/>
            </a:solidFill>
            <a:ln w="11220">
              <a:solidFill>
                <a:srgbClr val="000000"/>
              </a:solidFill>
              <a:prstDash val="solid"/>
            </a:ln>
          </c:spPr>
          <c:invertIfNegative val="0"/>
          <c:dLbls>
            <c:spPr>
              <a:noFill/>
              <a:ln w="22440">
                <a:noFill/>
              </a:ln>
            </c:spPr>
            <c:txPr>
              <a:bodyPr/>
              <a:lstStyle/>
              <a:p>
                <a:pPr>
                  <a:defRPr sz="161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Sheet1!$B$12:$B$12</c:f>
              <c:numCache>
                <c:formatCode>0%</c:formatCode>
                <c:ptCount val="1"/>
                <c:pt idx="0">
                  <c:v>2.0000000000000011E-2</c:v>
                </c:pt>
              </c:numCache>
            </c:numRef>
          </c:val>
        </c:ser>
        <c:dLbls>
          <c:showLegendKey val="0"/>
          <c:showVal val="1"/>
          <c:showCatName val="0"/>
          <c:showSerName val="0"/>
          <c:showPercent val="0"/>
          <c:showBubbleSize val="0"/>
        </c:dLbls>
        <c:gapWidth val="150"/>
        <c:gapDepth val="0"/>
        <c:shape val="box"/>
        <c:axId val="448703880"/>
        <c:axId val="448688192"/>
        <c:axId val="0"/>
      </c:bar3DChart>
      <c:catAx>
        <c:axId val="448703880"/>
        <c:scaling>
          <c:orientation val="minMax"/>
        </c:scaling>
        <c:delete val="0"/>
        <c:axPos val="b"/>
        <c:numFmt formatCode="General" sourceLinked="1"/>
        <c:majorTickMark val="out"/>
        <c:minorTickMark val="none"/>
        <c:tickLblPos val="low"/>
        <c:spPr>
          <a:ln w="2805">
            <a:solidFill>
              <a:srgbClr val="000000"/>
            </a:solidFill>
            <a:prstDash val="solid"/>
          </a:ln>
        </c:spPr>
        <c:txPr>
          <a:bodyPr rot="0" vert="horz"/>
          <a:lstStyle/>
          <a:p>
            <a:pPr>
              <a:defRPr sz="1612" b="1" i="0" u="none" strike="noStrike" baseline="0">
                <a:solidFill>
                  <a:srgbClr val="000000"/>
                </a:solidFill>
                <a:latin typeface="Arial Cyr"/>
                <a:ea typeface="Arial Cyr"/>
                <a:cs typeface="Arial Cyr"/>
              </a:defRPr>
            </a:pPr>
            <a:endParaRPr lang="ru-RU"/>
          </a:p>
        </c:txPr>
        <c:crossAx val="448688192"/>
        <c:crosses val="autoZero"/>
        <c:auto val="1"/>
        <c:lblAlgn val="ctr"/>
        <c:lblOffset val="100"/>
        <c:tickLblSkip val="1"/>
        <c:tickMarkSkip val="1"/>
        <c:noMultiLvlLbl val="0"/>
      </c:catAx>
      <c:valAx>
        <c:axId val="448688192"/>
        <c:scaling>
          <c:orientation val="minMax"/>
        </c:scaling>
        <c:delete val="0"/>
        <c:axPos val="l"/>
        <c:majorGridlines>
          <c:spPr>
            <a:ln w="2805">
              <a:solidFill>
                <a:srgbClr val="000000"/>
              </a:solidFill>
              <a:prstDash val="solid"/>
            </a:ln>
          </c:spPr>
        </c:majorGridlines>
        <c:numFmt formatCode="0%" sourceLinked="1"/>
        <c:majorTickMark val="out"/>
        <c:minorTickMark val="none"/>
        <c:tickLblPos val="nextTo"/>
        <c:spPr>
          <a:ln w="2805">
            <a:solidFill>
              <a:srgbClr val="000000"/>
            </a:solidFill>
            <a:prstDash val="solid"/>
          </a:ln>
        </c:spPr>
        <c:txPr>
          <a:bodyPr rot="0" vert="horz"/>
          <a:lstStyle/>
          <a:p>
            <a:pPr>
              <a:defRPr sz="707" b="1" i="0" u="none" strike="noStrike" baseline="0">
                <a:solidFill>
                  <a:srgbClr val="000000"/>
                </a:solidFill>
                <a:latin typeface="Arial Cyr"/>
                <a:ea typeface="Arial Cyr"/>
                <a:cs typeface="Arial Cyr"/>
              </a:defRPr>
            </a:pPr>
            <a:endParaRPr lang="ru-RU"/>
          </a:p>
        </c:txPr>
        <c:crossAx val="448703880"/>
        <c:crosses val="autoZero"/>
        <c:crossBetween val="between"/>
      </c:valAx>
      <c:spPr>
        <a:noFill/>
        <a:ln w="22440">
          <a:noFill/>
        </a:ln>
      </c:spPr>
    </c:plotArea>
    <c:legend>
      <c:legendPos val="b"/>
      <c:layout>
        <c:manualLayout>
          <c:xMode val="edge"/>
          <c:yMode val="edge"/>
          <c:x val="9.3502377179081289E-2"/>
          <c:y val="0.40304182509505732"/>
          <c:w val="0.87955625990491249"/>
          <c:h val="0.58174904942965777"/>
        </c:manualLayout>
      </c:layout>
      <c:overlay val="0"/>
      <c:spPr>
        <a:noFill/>
        <a:ln w="2805">
          <a:solidFill>
            <a:srgbClr val="000000"/>
          </a:solidFill>
          <a:prstDash val="solid"/>
        </a:ln>
      </c:spPr>
      <c:txPr>
        <a:bodyPr/>
        <a:lstStyle/>
        <a:p>
          <a:pPr>
            <a:defRPr sz="813"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612"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650077760497674E-2"/>
          <c:y val="3.7383177570093659E-3"/>
          <c:w val="0.92534992223950441"/>
          <c:h val="0.60186915887850612"/>
        </c:manualLayout>
      </c:layout>
      <c:bar3DChart>
        <c:barDir val="col"/>
        <c:grouping val="clustered"/>
        <c:varyColors val="0"/>
        <c:ser>
          <c:idx val="0"/>
          <c:order val="0"/>
          <c:tx>
            <c:strRef>
              <c:f>Sheet1!$A$2</c:f>
              <c:strCache>
                <c:ptCount val="1"/>
                <c:pt idx="0">
                  <c:v>a) democraţia şi drepturile omului</c:v>
                </c:pt>
              </c:strCache>
            </c:strRef>
          </c:tx>
          <c:spPr>
            <a:solidFill>
              <a:srgbClr val="9999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0.29000000000000031</c:v>
                </c:pt>
              </c:numCache>
            </c:numRef>
          </c:val>
        </c:ser>
        <c:ser>
          <c:idx val="1"/>
          <c:order val="1"/>
          <c:tx>
            <c:strRef>
              <c:f>Sheet1!$A$3</c:f>
              <c:strCache>
                <c:ptCount val="1"/>
                <c:pt idx="0">
                  <c:v>b) drept administrativ</c:v>
                </c:pt>
              </c:strCache>
            </c:strRef>
          </c:tx>
          <c:spPr>
            <a:solidFill>
              <a:srgbClr val="993366"/>
            </a:solidFill>
            <a:ln w="11220">
              <a:solidFill>
                <a:srgbClr val="000000"/>
              </a:solidFill>
              <a:prstDash val="solid"/>
            </a:ln>
          </c:spPr>
          <c:invertIfNegative val="0"/>
          <c:dLbls>
            <c:dLbl>
              <c:idx val="0"/>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dLbl>
            <c:spPr>
              <a:noFill/>
              <a:ln w="22440">
                <a:noFill/>
              </a:ln>
            </c:spPr>
            <c:txPr>
              <a:bodyPr/>
              <a:lstStyle/>
              <a:p>
                <a:pPr>
                  <a:defRPr sz="88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0.19</c:v>
                </c:pt>
              </c:numCache>
            </c:numRef>
          </c:val>
        </c:ser>
        <c:ser>
          <c:idx val="2"/>
          <c:order val="2"/>
          <c:tx>
            <c:strRef>
              <c:f>Sheet1!$A$4</c:f>
              <c:strCache>
                <c:ptCount val="1"/>
                <c:pt idx="0">
                  <c:v>c) proprietatea</c:v>
                </c:pt>
              </c:strCache>
            </c:strRef>
          </c:tx>
          <c:spPr>
            <a:solidFill>
              <a:srgbClr val="FFFFCC"/>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0.44</c:v>
                </c:pt>
              </c:numCache>
            </c:numRef>
          </c:val>
        </c:ser>
        <c:ser>
          <c:idx val="3"/>
          <c:order val="3"/>
          <c:tx>
            <c:strRef>
              <c:f>Sheet1!$A$5</c:f>
              <c:strCache>
                <c:ptCount val="1"/>
                <c:pt idx="0">
                  <c:v>d) contracte</c:v>
                </c:pt>
              </c:strCache>
            </c:strRef>
          </c:tx>
          <c:spPr>
            <a:solidFill>
              <a:srgbClr val="CCFF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0.21000000000000021</c:v>
                </c:pt>
              </c:numCache>
            </c:numRef>
          </c:val>
        </c:ser>
        <c:ser>
          <c:idx val="4"/>
          <c:order val="4"/>
          <c:tx>
            <c:strRef>
              <c:f>Sheet1!$A$6</c:f>
              <c:strCache>
                <c:ptCount val="1"/>
                <c:pt idx="0">
                  <c:v>e) consumatorii</c:v>
                </c:pt>
              </c:strCache>
            </c:strRef>
          </c:tx>
          <c:spPr>
            <a:solidFill>
              <a:srgbClr val="660066"/>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0.28000000000000008</c:v>
                </c:pt>
              </c:numCache>
            </c:numRef>
          </c:val>
        </c:ser>
        <c:ser>
          <c:idx val="5"/>
          <c:order val="5"/>
          <c:tx>
            <c:strRef>
              <c:f>Sheet1!$A$7</c:f>
              <c:strCache>
                <c:ptCount val="1"/>
                <c:pt idx="0">
                  <c:v>f) moştenire</c:v>
                </c:pt>
              </c:strCache>
            </c:strRef>
          </c:tx>
          <c:spPr>
            <a:solidFill>
              <a:srgbClr val="FF808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0%</c:formatCode>
                <c:ptCount val="1"/>
                <c:pt idx="0">
                  <c:v>0.36000000000000032</c:v>
                </c:pt>
              </c:numCache>
            </c:numRef>
          </c:val>
        </c:ser>
        <c:ser>
          <c:idx val="6"/>
          <c:order val="6"/>
          <c:tx>
            <c:strRef>
              <c:f>Sheet1!$A$8</c:f>
              <c:strCache>
                <c:ptCount val="1"/>
                <c:pt idx="0">
                  <c:v>g) dreptul familiei</c:v>
                </c:pt>
              </c:strCache>
            </c:strRef>
          </c:tx>
          <c:spPr>
            <a:solidFill>
              <a:srgbClr val="0066CC"/>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0%</c:formatCode>
                <c:ptCount val="1"/>
                <c:pt idx="0">
                  <c:v>0.24000000000000021</c:v>
                </c:pt>
              </c:numCache>
            </c:numRef>
          </c:val>
        </c:ser>
        <c:ser>
          <c:idx val="7"/>
          <c:order val="7"/>
          <c:tx>
            <c:strRef>
              <c:f>Sheet1!$A$9</c:f>
              <c:strCache>
                <c:ptCount val="1"/>
                <c:pt idx="0">
                  <c:v>h) acte de stare civilă</c:v>
                </c:pt>
              </c:strCache>
            </c:strRef>
          </c:tx>
          <c:spPr>
            <a:solidFill>
              <a:srgbClr val="CCCC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0%</c:formatCode>
                <c:ptCount val="1"/>
                <c:pt idx="0">
                  <c:v>0.22</c:v>
                </c:pt>
              </c:numCache>
            </c:numRef>
          </c:val>
        </c:ser>
        <c:ser>
          <c:idx val="8"/>
          <c:order val="8"/>
          <c:tx>
            <c:strRef>
              <c:f>Sheet1!$A$10</c:f>
              <c:strCache>
                <c:ptCount val="1"/>
                <c:pt idx="0">
                  <c:v>i) dreptul muncii</c:v>
                </c:pt>
              </c:strCache>
            </c:strRef>
          </c:tx>
          <c:spPr>
            <a:solidFill>
              <a:srgbClr val="00008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Sheet1!$B$10:$B$10</c:f>
              <c:numCache>
                <c:formatCode>0%</c:formatCode>
                <c:ptCount val="1"/>
                <c:pt idx="0">
                  <c:v>0.3300000000000009</c:v>
                </c:pt>
              </c:numCache>
            </c:numRef>
          </c:val>
        </c:ser>
        <c:ser>
          <c:idx val="9"/>
          <c:order val="9"/>
          <c:tx>
            <c:strRef>
              <c:f>Sheet1!$A$11</c:f>
              <c:strCache>
                <c:ptCount val="1"/>
                <c:pt idx="0">
                  <c:v>j) dreptul protecţiei sociale</c:v>
                </c:pt>
              </c:strCache>
            </c:strRef>
          </c:tx>
          <c:spPr>
            <a:solidFill>
              <a:srgbClr val="FF00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Sheet1!$B$11:$B$11</c:f>
              <c:numCache>
                <c:formatCode>0%</c:formatCode>
                <c:ptCount val="1"/>
                <c:pt idx="0">
                  <c:v>0.32000000000000073</c:v>
                </c:pt>
              </c:numCache>
            </c:numRef>
          </c:val>
        </c:ser>
        <c:ser>
          <c:idx val="10"/>
          <c:order val="10"/>
          <c:tx>
            <c:strRef>
              <c:f>Sheet1!$A$12</c:f>
              <c:strCache>
                <c:ptCount val="1"/>
                <c:pt idx="0">
                  <c:v>k) ocrotirea sănătăţii</c:v>
                </c:pt>
              </c:strCache>
            </c:strRef>
          </c:tx>
          <c:spPr>
            <a:solidFill>
              <a:srgbClr val="FFFF0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Sheet1!$B$12:$B$12</c:f>
              <c:numCache>
                <c:formatCode>0%</c:formatCode>
                <c:ptCount val="1"/>
                <c:pt idx="0">
                  <c:v>0.2</c:v>
                </c:pt>
              </c:numCache>
            </c:numRef>
          </c:val>
        </c:ser>
        <c:ser>
          <c:idx val="11"/>
          <c:order val="11"/>
          <c:tx>
            <c:strRef>
              <c:f>Sheet1!$A$13</c:f>
              <c:strCache>
                <c:ptCount val="1"/>
                <c:pt idx="0">
                  <c:v>l) dreptul afacerilor</c:v>
                </c:pt>
              </c:strCache>
            </c:strRef>
          </c:tx>
          <c:spPr>
            <a:solidFill>
              <a:srgbClr val="00FF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Sheet1!$B$13:$B$13</c:f>
              <c:numCache>
                <c:formatCode>0%</c:formatCode>
                <c:ptCount val="1"/>
                <c:pt idx="0">
                  <c:v>0.23</c:v>
                </c:pt>
              </c:numCache>
            </c:numRef>
          </c:val>
        </c:ser>
        <c:ser>
          <c:idx val="12"/>
          <c:order val="12"/>
          <c:tx>
            <c:strRef>
              <c:f>Sheet1!$A$14</c:f>
              <c:strCache>
                <c:ptCount val="1"/>
                <c:pt idx="0">
                  <c:v>m) drept fiscal</c:v>
                </c:pt>
              </c:strCache>
            </c:strRef>
          </c:tx>
          <c:spPr>
            <a:solidFill>
              <a:srgbClr val="80008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Sheet1!$B$14:$B$14</c:f>
              <c:numCache>
                <c:formatCode>0%</c:formatCode>
                <c:ptCount val="1"/>
                <c:pt idx="0">
                  <c:v>0.34</c:v>
                </c:pt>
              </c:numCache>
            </c:numRef>
          </c:val>
        </c:ser>
        <c:ser>
          <c:idx val="13"/>
          <c:order val="13"/>
          <c:tx>
            <c:strRef>
              <c:f>Sheet1!$A$15</c:f>
              <c:strCache>
                <c:ptCount val="1"/>
                <c:pt idx="0">
                  <c:v>n) metode alternative de soluţionare a conflictelor</c:v>
                </c:pt>
              </c:strCache>
            </c:strRef>
          </c:tx>
          <c:spPr>
            <a:solidFill>
              <a:srgbClr val="80000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Sheet1!$B$15:$B$15</c:f>
              <c:numCache>
                <c:formatCode>0%</c:formatCode>
                <c:ptCount val="1"/>
                <c:pt idx="0">
                  <c:v>0.32000000000000073</c:v>
                </c:pt>
              </c:numCache>
            </c:numRef>
          </c:val>
        </c:ser>
        <c:ser>
          <c:idx val="14"/>
          <c:order val="14"/>
          <c:tx>
            <c:strRef>
              <c:f>Sheet1!$A$16</c:f>
              <c:strCache>
                <c:ptCount val="1"/>
                <c:pt idx="0">
                  <c:v>o) drept procesual civil</c:v>
                </c:pt>
              </c:strCache>
            </c:strRef>
          </c:tx>
          <c:spPr>
            <a:solidFill>
              <a:srgbClr val="008080"/>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Sheet1!$B$16:$B$16</c:f>
              <c:numCache>
                <c:formatCode>0%</c:formatCode>
                <c:ptCount val="1"/>
                <c:pt idx="0">
                  <c:v>0.44</c:v>
                </c:pt>
              </c:numCache>
            </c:numRef>
          </c:val>
        </c:ser>
        <c:ser>
          <c:idx val="15"/>
          <c:order val="15"/>
          <c:tx>
            <c:strRef>
              <c:f>Sheet1!$A$17</c:f>
              <c:strCache>
                <c:ptCount val="1"/>
                <c:pt idx="0">
                  <c:v>p) contravenţii</c:v>
                </c:pt>
              </c:strCache>
            </c:strRef>
          </c:tx>
          <c:spPr>
            <a:solidFill>
              <a:srgbClr val="0000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Sheet1!$B$17:$B$17</c:f>
              <c:numCache>
                <c:formatCode>0%</c:formatCode>
                <c:ptCount val="1"/>
                <c:pt idx="0">
                  <c:v>0.35000000000000031</c:v>
                </c:pt>
              </c:numCache>
            </c:numRef>
          </c:val>
        </c:ser>
        <c:ser>
          <c:idx val="16"/>
          <c:order val="16"/>
          <c:tx>
            <c:strRef>
              <c:f>Sheet1!$A$18</c:f>
              <c:strCache>
                <c:ptCount val="1"/>
                <c:pt idx="0">
                  <c:v>q) drept penal şi de procedură penală</c:v>
                </c:pt>
              </c:strCache>
            </c:strRef>
          </c:tx>
          <c:spPr>
            <a:solidFill>
              <a:srgbClr val="00CC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Sheet1!$B$18:$B$18</c:f>
              <c:numCache>
                <c:formatCode>0%</c:formatCode>
                <c:ptCount val="1"/>
                <c:pt idx="0">
                  <c:v>0.37000000000000038</c:v>
                </c:pt>
              </c:numCache>
            </c:numRef>
          </c:val>
        </c:ser>
        <c:ser>
          <c:idx val="17"/>
          <c:order val="17"/>
          <c:tx>
            <c:strRef>
              <c:f>Sheet1!$A$19</c:f>
              <c:strCache>
                <c:ptCount val="1"/>
                <c:pt idx="0">
                  <c:v>r) abilităţi de interacţiune cu beneficiarul AJGS, specificaţi</c:v>
                </c:pt>
              </c:strCache>
            </c:strRef>
          </c:tx>
          <c:spPr>
            <a:solidFill>
              <a:srgbClr val="CCFFFF"/>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Sheet1!$B$19:$B$19</c:f>
              <c:numCache>
                <c:formatCode>0%</c:formatCode>
                <c:ptCount val="1"/>
                <c:pt idx="0">
                  <c:v>0.18000000000000024</c:v>
                </c:pt>
              </c:numCache>
            </c:numRef>
          </c:val>
        </c:ser>
        <c:ser>
          <c:idx val="18"/>
          <c:order val="18"/>
          <c:tx>
            <c:strRef>
              <c:f>Sheet1!$A$20</c:f>
              <c:strCache>
                <c:ptCount val="1"/>
                <c:pt idx="0">
                  <c:v>s) alte domenii</c:v>
                </c:pt>
              </c:strCache>
            </c:strRef>
          </c:tx>
          <c:spPr>
            <a:solidFill>
              <a:srgbClr val="CCFFCC"/>
            </a:solidFill>
            <a:ln w="11220">
              <a:solidFill>
                <a:srgbClr val="000000"/>
              </a:solidFill>
              <a:prstDash val="solid"/>
            </a:ln>
          </c:spPr>
          <c:invertIfNegative val="0"/>
          <c:dLbls>
            <c:spPr>
              <a:noFill/>
              <a:ln w="22440">
                <a:noFill/>
              </a:ln>
            </c:spPr>
            <c:txPr>
              <a:bodyPr/>
              <a:lstStyle/>
              <a:p>
                <a:pPr>
                  <a:defRPr sz="883" b="0" i="0" u="none" strike="noStrike" baseline="0">
                    <a:solidFill>
                      <a:srgbClr val="000000"/>
                    </a:solidFill>
                    <a:latin typeface="Arial Black"/>
                    <a:ea typeface="Arial Black"/>
                    <a:cs typeface="Arial Black"/>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Sheet1!$B$20:$B$20</c:f>
              <c:numCache>
                <c:formatCode>0%</c:formatCode>
                <c:ptCount val="1"/>
                <c:pt idx="0">
                  <c:v>4.0000000000000022E-2</c:v>
                </c:pt>
              </c:numCache>
            </c:numRef>
          </c:val>
        </c:ser>
        <c:dLbls>
          <c:showLegendKey val="0"/>
          <c:showVal val="1"/>
          <c:showCatName val="0"/>
          <c:showSerName val="0"/>
          <c:showPercent val="0"/>
          <c:showBubbleSize val="0"/>
        </c:dLbls>
        <c:gapWidth val="150"/>
        <c:gapDepth val="0"/>
        <c:shape val="box"/>
        <c:axId val="448698368"/>
        <c:axId val="448679288"/>
        <c:axId val="0"/>
      </c:bar3DChart>
      <c:catAx>
        <c:axId val="448698368"/>
        <c:scaling>
          <c:orientation val="minMax"/>
        </c:scaling>
        <c:delete val="0"/>
        <c:axPos val="b"/>
        <c:numFmt formatCode="General" sourceLinked="1"/>
        <c:majorTickMark val="out"/>
        <c:minorTickMark val="none"/>
        <c:tickLblPos val="low"/>
        <c:spPr>
          <a:ln w="2805">
            <a:solidFill>
              <a:srgbClr val="000000"/>
            </a:solidFill>
            <a:prstDash val="solid"/>
          </a:ln>
        </c:spPr>
        <c:txPr>
          <a:bodyPr rot="0" vert="horz"/>
          <a:lstStyle/>
          <a:p>
            <a:pPr>
              <a:defRPr sz="1634" b="1" i="0" u="none" strike="noStrike" baseline="0">
                <a:solidFill>
                  <a:srgbClr val="000000"/>
                </a:solidFill>
                <a:latin typeface="Arial Cyr"/>
                <a:ea typeface="Arial Cyr"/>
                <a:cs typeface="Arial Cyr"/>
              </a:defRPr>
            </a:pPr>
            <a:endParaRPr lang="ru-RU"/>
          </a:p>
        </c:txPr>
        <c:crossAx val="448679288"/>
        <c:crosses val="autoZero"/>
        <c:auto val="1"/>
        <c:lblAlgn val="ctr"/>
        <c:lblOffset val="100"/>
        <c:tickLblSkip val="1"/>
        <c:tickMarkSkip val="1"/>
        <c:noMultiLvlLbl val="0"/>
      </c:catAx>
      <c:valAx>
        <c:axId val="448679288"/>
        <c:scaling>
          <c:orientation val="minMax"/>
        </c:scaling>
        <c:delete val="0"/>
        <c:axPos val="l"/>
        <c:majorGridlines>
          <c:spPr>
            <a:ln w="2805">
              <a:solidFill>
                <a:srgbClr val="000000"/>
              </a:solidFill>
              <a:prstDash val="solid"/>
            </a:ln>
          </c:spPr>
        </c:majorGridlines>
        <c:numFmt formatCode="0%" sourceLinked="1"/>
        <c:majorTickMark val="out"/>
        <c:minorTickMark val="none"/>
        <c:tickLblPos val="nextTo"/>
        <c:spPr>
          <a:ln w="2805">
            <a:solidFill>
              <a:srgbClr val="000000"/>
            </a:solidFill>
            <a:prstDash val="solid"/>
          </a:ln>
        </c:spPr>
        <c:txPr>
          <a:bodyPr rot="0" vert="horz"/>
          <a:lstStyle/>
          <a:p>
            <a:pPr>
              <a:defRPr sz="707" b="1" i="0" u="none" strike="noStrike" baseline="0">
                <a:solidFill>
                  <a:srgbClr val="000000"/>
                </a:solidFill>
                <a:latin typeface="Arial Cyr"/>
                <a:ea typeface="Arial Cyr"/>
                <a:cs typeface="Arial Cyr"/>
              </a:defRPr>
            </a:pPr>
            <a:endParaRPr lang="ru-RU"/>
          </a:p>
        </c:txPr>
        <c:crossAx val="448698368"/>
        <c:crosses val="autoZero"/>
        <c:crossBetween val="between"/>
      </c:valAx>
      <c:spPr>
        <a:noFill/>
        <a:ln w="22440">
          <a:noFill/>
        </a:ln>
      </c:spPr>
    </c:plotArea>
    <c:legend>
      <c:legendPos val="r"/>
      <c:layout>
        <c:manualLayout>
          <c:xMode val="edge"/>
          <c:yMode val="edge"/>
          <c:x val="0.13530326594090203"/>
          <c:y val="0.63177570093458246"/>
          <c:w val="0.80248833592534818"/>
          <c:h val="0.3663551401869159"/>
        </c:manualLayout>
      </c:layout>
      <c:overlay val="0"/>
      <c:spPr>
        <a:noFill/>
        <a:ln w="2805">
          <a:solidFill>
            <a:srgbClr val="000000"/>
          </a:solidFill>
          <a:prstDash val="solid"/>
        </a:ln>
      </c:spPr>
      <c:txPr>
        <a:bodyPr/>
        <a:lstStyle/>
        <a:p>
          <a:pPr>
            <a:defRPr sz="649"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63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4098883572568029E-2"/>
          <c:y val="2.7548209366391192E-2"/>
          <c:w val="0.87878787878788023"/>
          <c:h val="0.5426997245179066"/>
        </c:manualLayout>
      </c:layout>
      <c:bar3DChart>
        <c:barDir val="col"/>
        <c:grouping val="clustered"/>
        <c:varyColors val="0"/>
        <c:ser>
          <c:idx val="0"/>
          <c:order val="0"/>
          <c:tx>
            <c:strRef>
              <c:f>Sheet1!$A$2</c:f>
              <c:strCache>
                <c:ptCount val="1"/>
                <c:pt idx="0">
                  <c:v>a) la prelungirea contractelor de către OT ale CNAJGS cu avocaţii care sunt deja în sistemul AJGS</c:v>
                </c:pt>
              </c:strCache>
            </c:strRef>
          </c:tx>
          <c:spPr>
            <a:solidFill>
              <a:srgbClr val="9999FF"/>
            </a:solidFill>
            <a:ln w="11220">
              <a:solidFill>
                <a:srgbClr val="000000"/>
              </a:solidFill>
              <a:prstDash val="solid"/>
            </a:ln>
          </c:spPr>
          <c:invertIfNegative val="0"/>
          <c:dLbls>
            <c:spPr>
              <a:noFill/>
              <a:ln w="22439">
                <a:noFill/>
              </a:ln>
            </c:spPr>
            <c:txPr>
              <a:bodyPr/>
              <a:lstStyle/>
              <a:p>
                <a:pPr>
                  <a:defRPr sz="15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0.48000000000000032</c:v>
                </c:pt>
              </c:numCache>
            </c:numRef>
          </c:val>
        </c:ser>
        <c:ser>
          <c:idx val="1"/>
          <c:order val="1"/>
          <c:tx>
            <c:strRef>
              <c:f>Sheet1!$A$3</c:f>
              <c:strCache>
                <c:ptCount val="1"/>
                <c:pt idx="0">
                  <c:v>b) la stabilirea frecvenţei monitorizării activităţii de acordare a AJGS de către avocaţi</c:v>
                </c:pt>
              </c:strCache>
            </c:strRef>
          </c:tx>
          <c:spPr>
            <a:solidFill>
              <a:srgbClr val="993366"/>
            </a:solidFill>
            <a:ln w="11220">
              <a:solidFill>
                <a:srgbClr val="000000"/>
              </a:solidFill>
              <a:prstDash val="solid"/>
            </a:ln>
          </c:spPr>
          <c:invertIfNegative val="0"/>
          <c:dLbls>
            <c:spPr>
              <a:noFill/>
              <a:ln w="22439">
                <a:noFill/>
              </a:ln>
            </c:spPr>
            <c:txPr>
              <a:bodyPr/>
              <a:lstStyle/>
              <a:p>
                <a:pPr>
                  <a:defRPr sz="15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0.28000000000000008</c:v>
                </c:pt>
              </c:numCache>
            </c:numRef>
          </c:val>
        </c:ser>
        <c:ser>
          <c:idx val="2"/>
          <c:order val="2"/>
          <c:tx>
            <c:strRef>
              <c:f>Sheet1!$A$4</c:f>
              <c:strCache>
                <c:ptCount val="1"/>
                <c:pt idx="0">
                  <c:v>c) la includerea avocaţilor în listele specializate de prestatori de servicii </c:v>
                </c:pt>
              </c:strCache>
            </c:strRef>
          </c:tx>
          <c:spPr>
            <a:solidFill>
              <a:srgbClr val="FFFFCC"/>
            </a:solidFill>
            <a:ln w="11220">
              <a:solidFill>
                <a:srgbClr val="000000"/>
              </a:solidFill>
              <a:prstDash val="solid"/>
            </a:ln>
          </c:spPr>
          <c:invertIfNegative val="0"/>
          <c:dLbls>
            <c:spPr>
              <a:noFill/>
              <a:ln w="22439">
                <a:noFill/>
              </a:ln>
            </c:spPr>
            <c:txPr>
              <a:bodyPr/>
              <a:lstStyle/>
              <a:p>
                <a:pPr>
                  <a:defRPr sz="15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0.5</c:v>
                </c:pt>
              </c:numCache>
            </c:numRef>
          </c:val>
        </c:ser>
        <c:ser>
          <c:idx val="3"/>
          <c:order val="3"/>
          <c:tx>
            <c:strRef>
              <c:f>Sheet1!$A$5</c:f>
              <c:strCache>
                <c:ptCount val="1"/>
                <c:pt idx="0">
                  <c:v>d) la oferirea suportului metodic avocaţilor </c:v>
                </c:pt>
              </c:strCache>
            </c:strRef>
          </c:tx>
          <c:spPr>
            <a:solidFill>
              <a:srgbClr val="CCFFFF"/>
            </a:solidFill>
            <a:ln w="11220">
              <a:solidFill>
                <a:srgbClr val="000000"/>
              </a:solidFill>
              <a:prstDash val="solid"/>
            </a:ln>
          </c:spPr>
          <c:invertIfNegative val="0"/>
          <c:dLbls>
            <c:spPr>
              <a:noFill/>
              <a:ln w="22439">
                <a:noFill/>
              </a:ln>
            </c:spPr>
            <c:txPr>
              <a:bodyPr/>
              <a:lstStyle/>
              <a:p>
                <a:pPr>
                  <a:defRPr sz="15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0.44000000000000006</c:v>
                </c:pt>
              </c:numCache>
            </c:numRef>
          </c:val>
        </c:ser>
        <c:ser>
          <c:idx val="4"/>
          <c:order val="4"/>
          <c:tx>
            <c:strRef>
              <c:f>Sheet1!$A$6</c:f>
              <c:strCache>
                <c:ptCount val="1"/>
                <c:pt idx="0">
                  <c:v>e) altceva</c:v>
                </c:pt>
              </c:strCache>
            </c:strRef>
          </c:tx>
          <c:spPr>
            <a:solidFill>
              <a:srgbClr val="660066"/>
            </a:solidFill>
            <a:ln w="11220">
              <a:solidFill>
                <a:srgbClr val="000000"/>
              </a:solidFill>
              <a:prstDash val="solid"/>
            </a:ln>
          </c:spPr>
          <c:invertIfNegative val="0"/>
          <c:dLbls>
            <c:spPr>
              <a:noFill/>
              <a:ln w="22439">
                <a:noFill/>
              </a:ln>
            </c:spPr>
            <c:txPr>
              <a:bodyPr/>
              <a:lstStyle/>
              <a:p>
                <a:pPr>
                  <a:defRPr sz="15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7.0000000000000021E-2</c:v>
                </c:pt>
              </c:numCache>
            </c:numRef>
          </c:val>
        </c:ser>
        <c:dLbls>
          <c:showLegendKey val="0"/>
          <c:showVal val="1"/>
          <c:showCatName val="0"/>
          <c:showSerName val="0"/>
          <c:showPercent val="0"/>
          <c:showBubbleSize val="0"/>
        </c:dLbls>
        <c:gapWidth val="150"/>
        <c:gapDepth val="0"/>
        <c:shape val="box"/>
        <c:axId val="341413704"/>
        <c:axId val="341426848"/>
        <c:axId val="0"/>
      </c:bar3DChart>
      <c:catAx>
        <c:axId val="341413704"/>
        <c:scaling>
          <c:orientation val="minMax"/>
        </c:scaling>
        <c:delete val="0"/>
        <c:axPos val="b"/>
        <c:numFmt formatCode="General" sourceLinked="1"/>
        <c:majorTickMark val="out"/>
        <c:minorTickMark val="none"/>
        <c:tickLblPos val="low"/>
        <c:spPr>
          <a:ln w="2805">
            <a:solidFill>
              <a:srgbClr val="000000"/>
            </a:solidFill>
            <a:prstDash val="solid"/>
          </a:ln>
        </c:spPr>
        <c:txPr>
          <a:bodyPr rot="0" vert="horz"/>
          <a:lstStyle/>
          <a:p>
            <a:pPr>
              <a:defRPr sz="1524" b="1" i="0" u="none" strike="noStrike" baseline="0">
                <a:solidFill>
                  <a:srgbClr val="000000"/>
                </a:solidFill>
                <a:latin typeface="Arial Cyr"/>
                <a:ea typeface="Arial Cyr"/>
                <a:cs typeface="Arial Cyr"/>
              </a:defRPr>
            </a:pPr>
            <a:endParaRPr lang="ru-RU"/>
          </a:p>
        </c:txPr>
        <c:crossAx val="341426848"/>
        <c:crosses val="autoZero"/>
        <c:auto val="1"/>
        <c:lblAlgn val="ctr"/>
        <c:lblOffset val="100"/>
        <c:tickLblSkip val="1"/>
        <c:tickMarkSkip val="1"/>
        <c:noMultiLvlLbl val="0"/>
      </c:catAx>
      <c:valAx>
        <c:axId val="341426848"/>
        <c:scaling>
          <c:orientation val="minMax"/>
        </c:scaling>
        <c:delete val="0"/>
        <c:axPos val="l"/>
        <c:majorGridlines>
          <c:spPr>
            <a:ln w="2805">
              <a:solidFill>
                <a:srgbClr val="000000"/>
              </a:solidFill>
              <a:prstDash val="solid"/>
            </a:ln>
          </c:spPr>
        </c:majorGridlines>
        <c:numFmt formatCode="0%" sourceLinked="1"/>
        <c:majorTickMark val="out"/>
        <c:minorTickMark val="none"/>
        <c:tickLblPos val="nextTo"/>
        <c:spPr>
          <a:ln w="2805">
            <a:solidFill>
              <a:srgbClr val="000000"/>
            </a:solidFill>
            <a:prstDash val="solid"/>
          </a:ln>
        </c:spPr>
        <c:txPr>
          <a:bodyPr rot="0" vert="horz"/>
          <a:lstStyle/>
          <a:p>
            <a:pPr>
              <a:defRPr sz="795" b="1" i="0" u="none" strike="noStrike" baseline="0">
                <a:solidFill>
                  <a:srgbClr val="000000"/>
                </a:solidFill>
                <a:latin typeface="Arial Cyr"/>
                <a:ea typeface="Arial Cyr"/>
                <a:cs typeface="Arial Cyr"/>
              </a:defRPr>
            </a:pPr>
            <a:endParaRPr lang="ru-RU"/>
          </a:p>
        </c:txPr>
        <c:crossAx val="341413704"/>
        <c:crosses val="autoZero"/>
        <c:crossBetween val="between"/>
      </c:valAx>
      <c:spPr>
        <a:noFill/>
        <a:ln w="22439">
          <a:noFill/>
        </a:ln>
      </c:spPr>
    </c:plotArea>
    <c:legend>
      <c:legendPos val="b"/>
      <c:layout>
        <c:manualLayout>
          <c:xMode val="edge"/>
          <c:yMode val="edge"/>
          <c:x val="0.15151515151515207"/>
          <c:y val="0.60606060606060663"/>
          <c:w val="0.78468899521531099"/>
          <c:h val="0.39669421487603307"/>
        </c:manualLayout>
      </c:layout>
      <c:overlay val="0"/>
      <c:spPr>
        <a:noFill/>
        <a:ln w="2805">
          <a:solidFill>
            <a:srgbClr val="000000"/>
          </a:solidFill>
          <a:prstDash val="solid"/>
        </a:ln>
      </c:spPr>
      <c:txPr>
        <a:bodyPr/>
        <a:lstStyle/>
        <a:p>
          <a:pPr>
            <a:defRPr sz="813"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414"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1A2A-D22F-42E8-A150-D9C6E836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12612</Words>
  <Characters>71892</Characters>
  <Application>Microsoft Office Word</Application>
  <DocSecurity>0</DocSecurity>
  <Lines>599</Lines>
  <Paragraphs>168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Caractere normale - MJ</vt:lpstr>
      <vt:lpstr>Caractere normale - MJ</vt:lpstr>
    </vt:vector>
  </TitlesOfParts>
  <Company>CNAJGS</Company>
  <LinksUpToDate>false</LinksUpToDate>
  <CharactersWithSpaces>84336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Caractere normale - MJ</dc:title>
  <dc:creator>vasile</dc:creator>
  <cp:lastModifiedBy>Andrei Batrinac</cp:lastModifiedBy>
  <cp:revision>3</cp:revision>
  <cp:lastPrinted>2013-11-27T17:06:00Z</cp:lastPrinted>
  <dcterms:created xsi:type="dcterms:W3CDTF">2013-11-29T18:22:00Z</dcterms:created>
  <dcterms:modified xsi:type="dcterms:W3CDTF">2014-03-11T14:42:00Z</dcterms:modified>
</cp:coreProperties>
</file>